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10304">
      <w:pPr>
        <w:widowControl/>
        <w:spacing w:line="540" w:lineRule="exact"/>
        <w:jc w:val="left"/>
      </w:pPr>
      <w:r>
        <w:rPr>
          <w:rFonts w:hint="eastAsia" w:asciiTheme="minorEastAsia" w:hAnsiTheme="minorEastAsia" w:cstheme="minorEastAsia"/>
          <w:b/>
          <w:bCs/>
          <w:kern w:val="0"/>
          <w:sz w:val="24"/>
          <w:szCs w:val="24"/>
        </w:rPr>
        <w:t>证券代码：600502                                   证券简称：安徽建工</w:t>
      </w:r>
    </w:p>
    <w:p w14:paraId="78C988D4">
      <w:pPr>
        <w:spacing w:line="540" w:lineRule="exact"/>
        <w:jc w:val="center"/>
        <w:rPr>
          <w:rFonts w:ascii="方正公文小标宋" w:hAnsi="方正公文小标宋" w:eastAsia="方正公文小标宋" w:cs="方正公文小标宋"/>
          <w:sz w:val="44"/>
          <w:szCs w:val="44"/>
        </w:rPr>
      </w:pPr>
    </w:p>
    <w:p w14:paraId="73D4B7EA">
      <w:pPr>
        <w:spacing w:line="54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安徽建工投资者关系活动记录表</w:t>
      </w:r>
    </w:p>
    <w:p w14:paraId="548346C2">
      <w:pPr>
        <w:spacing w:line="540" w:lineRule="exact"/>
        <w:jc w:val="center"/>
        <w:rPr>
          <w:rFonts w:ascii="方正公文小标宋" w:hAnsi="方正公文小标宋" w:eastAsia="方正公文小标宋" w:cs="方正公文小标宋"/>
          <w:sz w:val="44"/>
          <w:szCs w:val="44"/>
        </w:rPr>
      </w:pPr>
    </w:p>
    <w:tbl>
      <w:tblPr>
        <w:tblStyle w:val="7"/>
        <w:tblW w:w="9990" w:type="dxa"/>
        <w:tblInd w:w="-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8421"/>
      </w:tblGrid>
      <w:tr w14:paraId="717E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569" w:type="dxa"/>
            <w:vAlign w:val="center"/>
          </w:tcPr>
          <w:p w14:paraId="41B54A6D">
            <w:pPr>
              <w:widowControl/>
              <w:jc w:val="left"/>
              <w:rPr>
                <w:rFonts w:asciiTheme="minorEastAsia" w:hAnsiTheme="minorEastAsia" w:cstheme="minorEastAsia"/>
                <w:b/>
                <w:bCs/>
                <w:kern w:val="0"/>
                <w:sz w:val="24"/>
                <w:szCs w:val="24"/>
              </w:rPr>
            </w:pPr>
          </w:p>
          <w:p w14:paraId="3406F6D9">
            <w:pPr>
              <w:widowControl/>
              <w:jc w:val="left"/>
              <w:rPr>
                <w:rFonts w:asciiTheme="minorEastAsia" w:hAnsiTheme="minorEastAsia" w:cstheme="minorEastAsia"/>
                <w:b/>
                <w:bCs/>
                <w:sz w:val="24"/>
                <w:szCs w:val="24"/>
              </w:rPr>
            </w:pPr>
            <w:r>
              <w:rPr>
                <w:rFonts w:hint="eastAsia" w:asciiTheme="minorEastAsia" w:hAnsiTheme="minorEastAsia" w:cstheme="minorEastAsia"/>
                <w:b/>
                <w:bCs/>
                <w:kern w:val="0"/>
                <w:sz w:val="24"/>
                <w:szCs w:val="24"/>
              </w:rPr>
              <w:t>投资者关系</w:t>
            </w:r>
          </w:p>
          <w:p w14:paraId="351AD151">
            <w:pPr>
              <w:widowControl/>
              <w:jc w:val="left"/>
              <w:rPr>
                <w:rFonts w:asciiTheme="minorEastAsia" w:hAnsiTheme="minorEastAsia" w:cstheme="minorEastAsia"/>
                <w:b/>
                <w:bCs/>
                <w:sz w:val="24"/>
                <w:szCs w:val="24"/>
              </w:rPr>
            </w:pPr>
            <w:r>
              <w:rPr>
                <w:rFonts w:hint="eastAsia" w:asciiTheme="minorEastAsia" w:hAnsiTheme="minorEastAsia" w:cstheme="minorEastAsia"/>
                <w:b/>
                <w:bCs/>
                <w:kern w:val="0"/>
                <w:sz w:val="24"/>
                <w:szCs w:val="24"/>
              </w:rPr>
              <w:t>活动类别</w:t>
            </w:r>
          </w:p>
          <w:p w14:paraId="614D733C">
            <w:pPr>
              <w:jc w:val="left"/>
              <w:rPr>
                <w:rFonts w:asciiTheme="minorEastAsia" w:hAnsiTheme="minorEastAsia" w:cstheme="minorEastAsia"/>
                <w:b/>
                <w:bCs/>
                <w:sz w:val="24"/>
                <w:szCs w:val="24"/>
              </w:rPr>
            </w:pPr>
          </w:p>
        </w:tc>
        <w:tc>
          <w:tcPr>
            <w:tcW w:w="8421" w:type="dxa"/>
            <w:vAlign w:val="center"/>
          </w:tcPr>
          <w:p w14:paraId="4DE33C93">
            <w:pPr>
              <w:widowControl/>
              <w:rPr>
                <w:rFonts w:asciiTheme="minorEastAsia" w:hAnsiTheme="minorEastAsia" w:cstheme="minorEastAsia"/>
                <w:kern w:val="0"/>
                <w:sz w:val="24"/>
                <w:szCs w:val="24"/>
              </w:rPr>
            </w:pPr>
            <w:r>
              <w:rPr>
                <w:rFonts w:hint="eastAsia" w:asciiTheme="minorEastAsia" w:hAnsiTheme="minorEastAsia" w:cstheme="minorEastAsia"/>
                <w:kern w:val="0"/>
                <w:sz w:val="24"/>
                <w:szCs w:val="24"/>
              </w:rPr>
              <w:t>☑特定对象调研    ☑分析师会议     □电话会议</w:t>
            </w:r>
          </w:p>
          <w:p w14:paraId="376DD4E7">
            <w:pPr>
              <w:widowControl/>
              <w:rPr>
                <w:rFonts w:asciiTheme="minorEastAsia" w:hAnsiTheme="minorEastAsia" w:cstheme="minorEastAsia"/>
                <w:kern w:val="0"/>
                <w:sz w:val="24"/>
                <w:szCs w:val="24"/>
              </w:rPr>
            </w:pPr>
            <w:r>
              <w:rPr>
                <w:rFonts w:hint="eastAsia" w:asciiTheme="minorEastAsia" w:hAnsiTheme="minorEastAsia" w:cstheme="minorEastAsia"/>
                <w:kern w:val="0"/>
                <w:sz w:val="24"/>
                <w:szCs w:val="24"/>
              </w:rPr>
              <w:t>□业绩说明会      □媒体采访       □现场参观</w:t>
            </w:r>
          </w:p>
          <w:p w14:paraId="201AED0F">
            <w:pPr>
              <w:widowControl/>
              <w:rPr>
                <w:rFonts w:asciiTheme="minorEastAsia" w:hAnsiTheme="minorEastAsia" w:cstheme="minorEastAsia"/>
                <w:sz w:val="24"/>
                <w:szCs w:val="24"/>
              </w:rPr>
            </w:pPr>
            <w:r>
              <w:rPr>
                <w:rFonts w:hint="eastAsia" w:asciiTheme="minorEastAsia" w:hAnsiTheme="minorEastAsia" w:cstheme="minorEastAsia"/>
                <w:kern w:val="0"/>
                <w:sz w:val="24"/>
                <w:szCs w:val="24"/>
              </w:rPr>
              <w:t>□新闻发布会      □路演活动       □其他</w:t>
            </w:r>
          </w:p>
        </w:tc>
      </w:tr>
      <w:tr w14:paraId="3CF3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569" w:type="dxa"/>
            <w:vAlign w:val="center"/>
          </w:tcPr>
          <w:p w14:paraId="71C2413B">
            <w:pPr>
              <w:widowControl/>
              <w:jc w:val="left"/>
              <w:rPr>
                <w:rFonts w:asciiTheme="minorEastAsia" w:hAnsiTheme="minorEastAsia" w:cstheme="minorEastAsia"/>
                <w:b/>
                <w:bCs/>
                <w:sz w:val="24"/>
                <w:szCs w:val="24"/>
              </w:rPr>
            </w:pPr>
            <w:r>
              <w:rPr>
                <w:rFonts w:hint="eastAsia" w:asciiTheme="minorEastAsia" w:hAnsiTheme="minorEastAsia" w:cstheme="minorEastAsia"/>
                <w:b/>
                <w:bCs/>
                <w:kern w:val="0"/>
                <w:sz w:val="24"/>
                <w:szCs w:val="24"/>
              </w:rPr>
              <w:t>时间</w:t>
            </w:r>
          </w:p>
        </w:tc>
        <w:tc>
          <w:tcPr>
            <w:tcW w:w="8421" w:type="dxa"/>
            <w:vAlign w:val="center"/>
          </w:tcPr>
          <w:p w14:paraId="107D4ED9">
            <w:pP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2024年9月25日</w:t>
            </w:r>
          </w:p>
        </w:tc>
      </w:tr>
      <w:tr w14:paraId="2E3B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69" w:type="dxa"/>
            <w:vAlign w:val="center"/>
          </w:tcPr>
          <w:p w14:paraId="4987F472">
            <w:pPr>
              <w:widowControl/>
              <w:jc w:val="left"/>
              <w:rPr>
                <w:rFonts w:asciiTheme="minorEastAsia" w:hAnsiTheme="minorEastAsia" w:cstheme="minorEastAsia"/>
                <w:b/>
                <w:bCs/>
                <w:sz w:val="24"/>
                <w:szCs w:val="24"/>
              </w:rPr>
            </w:pPr>
            <w:r>
              <w:rPr>
                <w:rFonts w:hint="eastAsia" w:asciiTheme="minorEastAsia" w:hAnsiTheme="minorEastAsia" w:cstheme="minorEastAsia"/>
                <w:b/>
                <w:bCs/>
                <w:kern w:val="0"/>
                <w:sz w:val="24"/>
                <w:szCs w:val="24"/>
              </w:rPr>
              <w:t>地点</w:t>
            </w:r>
          </w:p>
        </w:tc>
        <w:tc>
          <w:tcPr>
            <w:tcW w:w="8421" w:type="dxa"/>
            <w:vAlign w:val="center"/>
          </w:tcPr>
          <w:p w14:paraId="66FF53FC">
            <w:pP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安徽省合肥市蜀山区黄山路459号安建国际大厦</w:t>
            </w:r>
          </w:p>
        </w:tc>
      </w:tr>
      <w:tr w14:paraId="1DC3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569" w:type="dxa"/>
            <w:vAlign w:val="center"/>
          </w:tcPr>
          <w:p w14:paraId="25E36417">
            <w:pPr>
              <w:widowControl/>
              <w:jc w:val="left"/>
              <w:rPr>
                <w:rFonts w:asciiTheme="minorEastAsia" w:hAnsiTheme="minorEastAsia" w:cstheme="minorEastAsia"/>
                <w:b/>
                <w:bCs/>
                <w:kern w:val="0"/>
                <w:sz w:val="24"/>
                <w:szCs w:val="24"/>
              </w:rPr>
            </w:pPr>
          </w:p>
          <w:p w14:paraId="4E1CE636">
            <w:pPr>
              <w:widowControl/>
              <w:jc w:val="left"/>
              <w:rPr>
                <w:rFonts w:asciiTheme="minorEastAsia" w:hAnsiTheme="minorEastAsia" w:cstheme="minorEastAsia"/>
                <w:b/>
                <w:bCs/>
                <w:sz w:val="24"/>
                <w:szCs w:val="24"/>
              </w:rPr>
            </w:pPr>
            <w:r>
              <w:rPr>
                <w:rFonts w:hint="eastAsia" w:asciiTheme="minorEastAsia" w:hAnsiTheme="minorEastAsia" w:cstheme="minorEastAsia"/>
                <w:b/>
                <w:bCs/>
                <w:kern w:val="0"/>
                <w:sz w:val="24"/>
                <w:szCs w:val="24"/>
              </w:rPr>
              <w:t>参与单位名称及人员</w:t>
            </w:r>
          </w:p>
          <w:p w14:paraId="632983E0">
            <w:pPr>
              <w:jc w:val="left"/>
              <w:rPr>
                <w:rFonts w:asciiTheme="minorEastAsia" w:hAnsiTheme="minorEastAsia" w:cstheme="minorEastAsia"/>
                <w:b/>
                <w:bCs/>
                <w:sz w:val="24"/>
                <w:szCs w:val="24"/>
              </w:rPr>
            </w:pPr>
          </w:p>
        </w:tc>
        <w:tc>
          <w:tcPr>
            <w:tcW w:w="8421" w:type="dxa"/>
            <w:vAlign w:val="center"/>
          </w:tcPr>
          <w:p w14:paraId="0F593E50">
            <w:pPr>
              <w:spacing w:line="460" w:lineRule="exac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中金公司：龚晴、杨茂达</w:t>
            </w:r>
          </w:p>
          <w:p w14:paraId="63CC7EB5">
            <w:pPr>
              <w:spacing w:line="460" w:lineRule="exac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广发证券：张子峻</w:t>
            </w:r>
          </w:p>
        </w:tc>
      </w:tr>
      <w:tr w14:paraId="2A27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569" w:type="dxa"/>
            <w:vAlign w:val="center"/>
          </w:tcPr>
          <w:p w14:paraId="3AA59521">
            <w:pPr>
              <w:widowControl/>
              <w:jc w:val="left"/>
              <w:rPr>
                <w:rFonts w:asciiTheme="minorEastAsia" w:hAnsiTheme="minorEastAsia" w:cstheme="minorEastAsia"/>
                <w:b/>
                <w:bCs/>
                <w:sz w:val="24"/>
                <w:szCs w:val="24"/>
              </w:rPr>
            </w:pPr>
            <w:r>
              <w:rPr>
                <w:rFonts w:hint="eastAsia" w:asciiTheme="minorEastAsia" w:hAnsiTheme="minorEastAsia" w:cstheme="minorEastAsia"/>
                <w:b/>
                <w:bCs/>
                <w:kern w:val="0"/>
                <w:sz w:val="24"/>
                <w:szCs w:val="24"/>
              </w:rPr>
              <w:t xml:space="preserve">上市公司接待人员 </w:t>
            </w:r>
          </w:p>
        </w:tc>
        <w:tc>
          <w:tcPr>
            <w:tcW w:w="8421" w:type="dxa"/>
            <w:vAlign w:val="center"/>
          </w:tcPr>
          <w:p w14:paraId="58A2D7AB">
            <w:pPr>
              <w:spacing w:line="460" w:lineRule="exac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证券事务部部长  许丽</w:t>
            </w:r>
          </w:p>
          <w:p w14:paraId="5F0A6E7A">
            <w:pPr>
              <w:spacing w:line="460" w:lineRule="exact"/>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市场开发部高级主办 吴鹏翔</w:t>
            </w:r>
          </w:p>
        </w:tc>
      </w:tr>
      <w:tr w14:paraId="589E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569" w:type="dxa"/>
            <w:vAlign w:val="center"/>
          </w:tcPr>
          <w:p w14:paraId="74601E48">
            <w:pPr>
              <w:widowControl/>
              <w:spacing w:beforeLines="50"/>
              <w:jc w:val="left"/>
              <w:rPr>
                <w:rFonts w:asciiTheme="minorEastAsia" w:hAnsiTheme="minorEastAsia" w:cstheme="minorEastAsia"/>
                <w:b/>
                <w:bCs/>
                <w:kern w:val="0"/>
                <w:sz w:val="24"/>
                <w:szCs w:val="24"/>
              </w:rPr>
            </w:pPr>
          </w:p>
          <w:p w14:paraId="453E7F7A">
            <w:pPr>
              <w:widowControl/>
              <w:spacing w:beforeLines="50"/>
              <w:jc w:val="left"/>
              <w:rPr>
                <w:rFonts w:asciiTheme="minorEastAsia" w:hAnsiTheme="minorEastAsia" w:cstheme="minorEastAsia"/>
                <w:b/>
                <w:bCs/>
                <w:kern w:val="0"/>
                <w:sz w:val="24"/>
                <w:szCs w:val="24"/>
              </w:rPr>
            </w:pPr>
          </w:p>
          <w:p w14:paraId="2689AC5C">
            <w:pPr>
              <w:widowControl/>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xml:space="preserve">投资者关系 </w:t>
            </w:r>
          </w:p>
          <w:p w14:paraId="6E2DEB7E">
            <w:pPr>
              <w:widowControl/>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xml:space="preserve">活动主要内容介绍 </w:t>
            </w:r>
          </w:p>
          <w:p w14:paraId="5A52B8A1">
            <w:pPr>
              <w:spacing w:beforeLines="50"/>
              <w:jc w:val="left"/>
              <w:rPr>
                <w:rFonts w:asciiTheme="minorEastAsia" w:hAnsiTheme="minorEastAsia" w:cstheme="minorEastAsia"/>
                <w:b/>
                <w:bCs/>
                <w:sz w:val="24"/>
                <w:szCs w:val="24"/>
              </w:rPr>
            </w:pPr>
          </w:p>
        </w:tc>
        <w:tc>
          <w:tcPr>
            <w:tcW w:w="8421" w:type="dxa"/>
          </w:tcPr>
          <w:p w14:paraId="7FD599C8">
            <w:pPr>
              <w:pStyle w:val="9"/>
              <w:spacing w:beforeLines="50" w:afterLines="50" w:line="480" w:lineRule="exact"/>
              <w:ind w:firstLine="482"/>
              <w:rPr>
                <w:rFonts w:ascii="楷体" w:hAnsi="楷体" w:eastAsia="楷体" w:cs="仿宋_GB2312"/>
                <w:b/>
                <w:bCs/>
                <w:sz w:val="24"/>
                <w:szCs w:val="24"/>
              </w:rPr>
            </w:pPr>
            <w:r>
              <w:rPr>
                <w:rFonts w:hint="eastAsia" w:ascii="楷体" w:hAnsi="楷体" w:eastAsia="楷体" w:cs="仿宋_GB2312"/>
                <w:b/>
                <w:bCs/>
                <w:sz w:val="24"/>
                <w:szCs w:val="24"/>
              </w:rPr>
              <w:t>一、公司获得AAA主体信用评级的影响有哪些？</w:t>
            </w:r>
          </w:p>
          <w:p w14:paraId="1C15C577">
            <w:pPr>
              <w:pStyle w:val="9"/>
              <w:spacing w:afterLines="50" w:line="480" w:lineRule="exact"/>
              <w:ind w:firstLine="480"/>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答：2024年上半年，公司主体信用评级由AA+上调为AAA，为公司拓展融资渠道、降低融资成本创造了更加有利的条件。上半年发行的交易所债券、银行间债务融资工具和银行贷款，利率均低于往年同期水平，有效降低了公司资金成本。</w:t>
            </w:r>
          </w:p>
          <w:p w14:paraId="76ADC54B">
            <w:pPr>
              <w:pStyle w:val="9"/>
              <w:spacing w:afterLines="50" w:line="480" w:lineRule="exact"/>
              <w:ind w:firstLine="482"/>
              <w:rPr>
                <w:rFonts w:ascii="楷体" w:hAnsi="楷体" w:eastAsia="楷体" w:cs="仿宋_GB2312"/>
                <w:b/>
                <w:bCs/>
                <w:sz w:val="24"/>
                <w:szCs w:val="24"/>
              </w:rPr>
            </w:pPr>
            <w:r>
              <w:rPr>
                <w:rFonts w:hint="eastAsia" w:ascii="楷体" w:hAnsi="楷体" w:eastAsia="楷体" w:cs="仿宋_GB2312"/>
                <w:b/>
                <w:bCs/>
                <w:sz w:val="24"/>
                <w:szCs w:val="24"/>
              </w:rPr>
              <w:t>二、公司毛利率水平是否还有进一步提升的空间？</w:t>
            </w:r>
          </w:p>
          <w:p w14:paraId="6FCC31A5">
            <w:pPr>
              <w:pStyle w:val="9"/>
              <w:spacing w:afterLines="50" w:line="480" w:lineRule="exact"/>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近两年，公司建筑施工业务盈利能力稳中有升，上半年建筑施工业务毛利率10.04%，同比提升1.74个百分点。主要系项目管理水平整体提升、原材料和劳务价格总体平稳、融资成本稳中有降等因素所致。房地产业务受行业影响，毛利率有所下滑。下一步，公司将继续优化业务结构，积极跟踪和承接毛利率较高项目，同时，持续加强项目管理，努力控制融资成本，力争提升整体盈利水平。</w:t>
            </w:r>
          </w:p>
          <w:p w14:paraId="183234F7">
            <w:pPr>
              <w:pStyle w:val="9"/>
              <w:spacing w:afterLines="50" w:line="480" w:lineRule="exact"/>
              <w:ind w:firstLine="482"/>
              <w:rPr>
                <w:rFonts w:ascii="楷体" w:hAnsi="楷体" w:eastAsia="楷体" w:cs="仿宋_GB2312"/>
                <w:b/>
                <w:bCs/>
                <w:sz w:val="24"/>
                <w:szCs w:val="24"/>
              </w:rPr>
            </w:pPr>
            <w:r>
              <w:rPr>
                <w:rFonts w:hint="eastAsia" w:ascii="楷体" w:hAnsi="楷体" w:eastAsia="楷体" w:cs="仿宋_GB2312"/>
                <w:b/>
                <w:bCs/>
                <w:sz w:val="24"/>
                <w:szCs w:val="24"/>
              </w:rPr>
              <w:t>三、2024年上半年经营性现金流流出较多的原因，年末是否会有改善？</w:t>
            </w:r>
          </w:p>
          <w:p w14:paraId="1F445287">
            <w:pPr>
              <w:pStyle w:val="9"/>
              <w:spacing w:afterLines="50" w:line="480" w:lineRule="exact"/>
              <w:ind w:firstLine="480"/>
              <w:rPr>
                <w:rFonts w:ascii="仿宋_GB2312" w:hAnsi="仿宋_GB2312" w:eastAsia="仿宋_GB2312" w:cs="仿宋_GB2312"/>
                <w:b/>
                <w:bCs/>
                <w:sz w:val="24"/>
                <w:szCs w:val="24"/>
              </w:rPr>
            </w:pPr>
            <w:r>
              <w:rPr>
                <w:rFonts w:hint="eastAsia" w:ascii="仿宋_GB2312" w:hAnsi="仿宋_GB2312" w:eastAsia="仿宋_GB2312" w:cs="仿宋_GB2312"/>
                <w:bCs/>
                <w:sz w:val="24"/>
                <w:szCs w:val="24"/>
              </w:rPr>
              <w:t>答：公司2024年上半年经营性现金流净流出38.2亿元，主要原因系公司积极履行国企社会责任，及时向下游中小企业支付，但业主单位工程款支付不及预期，从而导致净流出较多。公司高度重视现金流管理，严格执行落实专项工作措施，力争2024年末经营性现金流有较好表现。</w:t>
            </w:r>
          </w:p>
          <w:p w14:paraId="21BA5B3E">
            <w:pPr>
              <w:pStyle w:val="9"/>
              <w:spacing w:afterLines="50" w:line="480" w:lineRule="exact"/>
              <w:ind w:firstLine="482"/>
              <w:rPr>
                <w:rFonts w:ascii="楷体" w:hAnsi="楷体" w:eastAsia="楷体" w:cs="仿宋_GB2312"/>
                <w:b/>
                <w:bCs/>
                <w:sz w:val="24"/>
                <w:szCs w:val="24"/>
              </w:rPr>
            </w:pPr>
            <w:r>
              <w:rPr>
                <w:rFonts w:hint="eastAsia" w:ascii="楷体" w:hAnsi="楷体" w:eastAsia="楷体" w:cs="仿宋_GB2312"/>
                <w:b/>
                <w:bCs/>
                <w:sz w:val="24"/>
                <w:szCs w:val="24"/>
              </w:rPr>
              <w:t>四、公司为何成立“安徽建工集团投资发展有限公司”？</w:t>
            </w:r>
          </w:p>
          <w:p w14:paraId="1E8F571B">
            <w:pPr>
              <w:pStyle w:val="9"/>
              <w:spacing w:afterLines="50" w:line="480" w:lineRule="exact"/>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公司设立安徽建工集团投资发展有限公司，系将原先由分公司管理的基建投资与运营管理业务调整为由该新设子公司管理，未增加管理成本。该公司注册资本60亿元，系以安徽建工现有基建投资类项目公司股东权益评估作价出资。该公司经授权开展投资项目的投融资、建设、运营管理，有利于增强本公司主业投资功能，强化风险管控能力，促进公司转型发展。</w:t>
            </w:r>
          </w:p>
          <w:p w14:paraId="6CAA9F7E">
            <w:pPr>
              <w:pStyle w:val="9"/>
              <w:spacing w:afterLines="50" w:line="480" w:lineRule="exact"/>
              <w:ind w:firstLine="482"/>
              <w:rPr>
                <w:rFonts w:ascii="楷体" w:hAnsi="楷体" w:eastAsia="楷体" w:cs="仿宋_GB2312"/>
                <w:b/>
                <w:bCs/>
                <w:sz w:val="24"/>
                <w:szCs w:val="24"/>
              </w:rPr>
            </w:pPr>
            <w:r>
              <w:rPr>
                <w:rFonts w:hint="eastAsia" w:ascii="楷体" w:hAnsi="楷体" w:eastAsia="楷体" w:cs="仿宋_GB2312"/>
                <w:b/>
                <w:bCs/>
                <w:sz w:val="24"/>
                <w:szCs w:val="24"/>
              </w:rPr>
              <w:t>五、公司所处建筑行业中，哪些细分领域相对较好？</w:t>
            </w:r>
          </w:p>
          <w:p w14:paraId="7C2E7210">
            <w:pPr>
              <w:pStyle w:val="9"/>
              <w:spacing w:afterLines="50" w:line="480" w:lineRule="exact"/>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受外部环境变化和国内有效需求不足影响，今年以来，建筑业整体下行压力加大，市场竞争加剧，建筑企业业绩承压。但随着中央、有关省市和地区在智能制造工业园区、重大交通、水利设施、新基建、新型城镇化、乡村振兴等领域投资的有序推进，建筑业务增长仍存在结构性机会。2024年上半年，公司工程建设业务新签合同额同比下降3%，主要受市政工程下降较多影响所致，但公路桥梁工程和水利工程新签合同额同比分别增长43%和550%。下一步，公司将主动积极把握政策机遇，加大市场开拓力度，争取承接更多优质订单。</w:t>
            </w:r>
          </w:p>
          <w:p w14:paraId="3A4CFFD5">
            <w:pPr>
              <w:pStyle w:val="9"/>
              <w:spacing w:afterLines="50" w:line="480" w:lineRule="exact"/>
              <w:ind w:firstLine="482"/>
              <w:rPr>
                <w:rFonts w:ascii="楷体" w:hAnsi="楷体" w:eastAsia="楷体" w:cs="仿宋_GB2312"/>
                <w:b/>
                <w:bCs/>
                <w:sz w:val="24"/>
                <w:szCs w:val="24"/>
              </w:rPr>
            </w:pPr>
            <w:r>
              <w:rPr>
                <w:rFonts w:hint="eastAsia" w:ascii="楷体" w:hAnsi="楷体" w:eastAsia="楷体" w:cs="仿宋_GB2312"/>
                <w:b/>
                <w:bCs/>
                <w:sz w:val="24"/>
                <w:szCs w:val="24"/>
              </w:rPr>
              <w:t>六、公司房建业务主要承接哪些项目，工业园区项目订单占比如何？</w:t>
            </w:r>
          </w:p>
          <w:p w14:paraId="3AABF619">
            <w:pPr>
              <w:pStyle w:val="9"/>
              <w:spacing w:afterLines="50" w:line="480" w:lineRule="exact"/>
              <w:ind w:firstLine="495" w:firstLineChars="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公司业务覆盖建筑业上下游，工程建设业务包含基建业务（路桥、市政、水利、港航等）和房建业务，业务较为多元，产业链条完备，具有较强发展韧性。2023年以来，公司房建业务订单主要为工业园区厂房、城市公共建筑、保障房等，业务结构持续改善。2024年上半年，公司工程建设业务新签合同722.87亿元，其中，房建工程合同额193.69亿元。房建工程新签合同中，工业园区类房建项目占比超过50%。</w:t>
            </w:r>
          </w:p>
          <w:p w14:paraId="1807F7A4">
            <w:pPr>
              <w:pStyle w:val="9"/>
              <w:spacing w:afterLines="50" w:line="480" w:lineRule="exact"/>
              <w:ind w:firstLine="482"/>
              <w:rPr>
                <w:rFonts w:ascii="楷体" w:hAnsi="楷体" w:eastAsia="楷体" w:cs="仿宋_GB2312"/>
                <w:b/>
                <w:bCs/>
                <w:sz w:val="24"/>
                <w:szCs w:val="24"/>
              </w:rPr>
            </w:pPr>
            <w:r>
              <w:rPr>
                <w:rFonts w:hint="eastAsia" w:ascii="楷体" w:hAnsi="楷体" w:eastAsia="楷体" w:cs="仿宋_GB2312"/>
                <w:b/>
                <w:bCs/>
                <w:sz w:val="24"/>
                <w:szCs w:val="24"/>
              </w:rPr>
              <w:t>七、新签合同额转化为营业收入需要多长时间？</w:t>
            </w:r>
          </w:p>
          <w:p w14:paraId="7558ABA7">
            <w:pPr>
              <w:pStyle w:val="9"/>
              <w:spacing w:afterLines="50" w:line="480" w:lineRule="exact"/>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答：公司工程建设业务含基建业务和房建业务，不同类型项目从签订合同到形成实物工作量并确认</w:t>
            </w:r>
            <w:r>
              <w:rPr>
                <w:rFonts w:hint="eastAsia" w:ascii="仿宋_GB2312" w:hAnsi="仿宋_GB2312" w:eastAsia="仿宋_GB2312" w:cs="仿宋_GB2312"/>
                <w:bCs/>
                <w:sz w:val="24"/>
                <w:szCs w:val="24"/>
                <w:lang w:val="en-US" w:eastAsia="zh-CN"/>
              </w:rPr>
              <w:t>营业</w:t>
            </w:r>
            <w:r>
              <w:rPr>
                <w:rFonts w:hint="eastAsia" w:ascii="仿宋_GB2312" w:hAnsi="仿宋_GB2312" w:eastAsia="仿宋_GB2312" w:cs="仿宋_GB2312"/>
                <w:bCs/>
                <w:sz w:val="24"/>
                <w:szCs w:val="24"/>
              </w:rPr>
              <w:t>收入所需的时间不尽相同。房建工程、市政工程大致需要1-2个月，公路桥梁、水利工程大约4-6个月，基建投资项目因审批手续复杂，则普遍需要6个月以上甚至更长时间。</w:t>
            </w:r>
          </w:p>
          <w:p w14:paraId="63C7356B">
            <w:pPr>
              <w:pStyle w:val="9"/>
              <w:spacing w:afterLines="50" w:line="480" w:lineRule="exact"/>
              <w:ind w:firstLine="482"/>
              <w:rPr>
                <w:rFonts w:ascii="楷体" w:hAnsi="楷体" w:eastAsia="楷体" w:cs="仿宋_GB2312"/>
                <w:b/>
                <w:bCs/>
                <w:sz w:val="24"/>
                <w:szCs w:val="24"/>
              </w:rPr>
            </w:pPr>
            <w:r>
              <w:rPr>
                <w:rFonts w:hint="eastAsia" w:ascii="楷体" w:hAnsi="楷体" w:eastAsia="楷体" w:cs="仿宋_GB2312"/>
                <w:b/>
                <w:bCs/>
                <w:sz w:val="24"/>
                <w:szCs w:val="24"/>
              </w:rPr>
              <w:t>八、公司房地产业务状况？</w:t>
            </w:r>
          </w:p>
          <w:p w14:paraId="0484CA6B">
            <w:pPr>
              <w:pStyle w:val="9"/>
              <w:spacing w:afterLines="50" w:line="480" w:lineRule="exact"/>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房地产开发为公司传统业务，也是公司产业链条的组成部分。近年来，公司适应国家政策和市场环境的变化，着力调整优化业务结构和业务区域，房地产业绩波动对公司整体业绩的影响总体可控。当前，公司正在加快房地产项目建设销售及存量去化，积极回笼资金。同时，积极盘活自有存量土地，开展产业园区建设和运营，配合政府开展城市更新改造等，积极推进房地产业务转型。</w:t>
            </w:r>
          </w:p>
          <w:p w14:paraId="067618C7">
            <w:pPr>
              <w:pStyle w:val="9"/>
              <w:spacing w:afterLines="50" w:line="480" w:lineRule="exact"/>
              <w:ind w:firstLine="482"/>
              <w:rPr>
                <w:rFonts w:ascii="楷体" w:hAnsi="楷体" w:eastAsia="楷体" w:cs="仿宋_GB2312"/>
                <w:b/>
                <w:bCs/>
                <w:sz w:val="24"/>
                <w:szCs w:val="24"/>
              </w:rPr>
            </w:pPr>
            <w:r>
              <w:rPr>
                <w:rFonts w:hint="eastAsia" w:ascii="楷体" w:hAnsi="楷体" w:eastAsia="楷体" w:cs="仿宋_GB2312"/>
                <w:b/>
                <w:bCs/>
                <w:sz w:val="24"/>
                <w:szCs w:val="24"/>
              </w:rPr>
              <w:t>九、专项债的发行对公司的影响主要体现在回款上还是项目建设上？</w:t>
            </w:r>
          </w:p>
          <w:p w14:paraId="254CDBBA">
            <w:pPr>
              <w:pStyle w:val="9"/>
              <w:spacing w:afterLines="50" w:line="480" w:lineRule="exact"/>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专项债和特别国债的发行对应收账款回收和项目建设均有积极作用。当前，公司积极把握政策机遇，着力加强与业主方沟通协调，努力回收应收账款，加强在建项目结算和申请进度款支付，为冲击全年目标任务贡献力量。</w:t>
            </w:r>
          </w:p>
          <w:p w14:paraId="08455DEA">
            <w:pPr>
              <w:pStyle w:val="9"/>
              <w:spacing w:afterLines="50" w:line="480" w:lineRule="exact"/>
              <w:ind w:firstLine="482"/>
              <w:rPr>
                <w:rFonts w:ascii="楷体" w:hAnsi="楷体" w:eastAsia="楷体" w:cs="仿宋_GB2312"/>
                <w:b/>
                <w:bCs/>
                <w:sz w:val="24"/>
                <w:szCs w:val="24"/>
              </w:rPr>
            </w:pPr>
            <w:r>
              <w:rPr>
                <w:rFonts w:hint="eastAsia" w:ascii="楷体" w:hAnsi="楷体" w:eastAsia="楷体" w:cs="仿宋_GB2312"/>
                <w:b/>
                <w:bCs/>
                <w:sz w:val="24"/>
                <w:szCs w:val="24"/>
              </w:rPr>
              <w:t>十、公司近两年的诉讼案件为何增多？</w:t>
            </w:r>
          </w:p>
          <w:p w14:paraId="54117389">
            <w:pPr>
              <w:pStyle w:val="9"/>
              <w:spacing w:afterLines="50" w:line="480" w:lineRule="exact"/>
              <w:ind w:firstLine="48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答：近年来</w:t>
            </w:r>
            <w:bookmarkStart w:id="0" w:name="_GoBack"/>
            <w:bookmarkEnd w:id="0"/>
            <w:r>
              <w:rPr>
                <w:rFonts w:hint="eastAsia" w:ascii="仿宋_GB2312" w:hAnsi="仿宋_GB2312" w:eastAsia="仿宋_GB2312" w:cs="仿宋_GB2312"/>
                <w:bCs/>
                <w:sz w:val="24"/>
                <w:szCs w:val="24"/>
              </w:rPr>
              <w:t>，公司主动积极作为，依法合规、多措并举催收工程款，诉讼措施系公司开展应收账款催收的重要抓手。近两年新增的诉讼案件中，公司主动起诉案件均占案件总数和总金额的90%以上。相关诉讼案件发生及进展情况，公司均按监管要求披露。下一步，公司仍将依法合规维权，继续强化催收力度，争取更多资金回笼。</w:t>
            </w:r>
          </w:p>
          <w:p w14:paraId="341C07D1">
            <w:pPr>
              <w:spacing w:line="480" w:lineRule="exact"/>
              <w:rPr>
                <w:rFonts w:ascii="仿宋_GB2312" w:hAnsi="仿宋_GB2312" w:eastAsia="仿宋_GB2312" w:cs="仿宋_GB2312"/>
                <w:b/>
                <w:bCs/>
                <w:color w:val="FF0000"/>
                <w:sz w:val="24"/>
                <w:szCs w:val="24"/>
              </w:rPr>
            </w:pPr>
          </w:p>
        </w:tc>
      </w:tr>
    </w:tbl>
    <w:p w14:paraId="4D29F196">
      <w:pPr>
        <w:spacing w:beforeLines="5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FD024E04-1A9F-45DA-AD34-F61623D6F6D0}"/>
  </w:font>
  <w:font w:name="仿宋_GB2312">
    <w:panose1 w:val="02010609030101010101"/>
    <w:charset w:val="86"/>
    <w:family w:val="modern"/>
    <w:pitch w:val="default"/>
    <w:sig w:usb0="00000001" w:usb1="080E0000" w:usb2="00000000" w:usb3="00000000" w:csb0="00040000" w:csb1="00000000"/>
    <w:embedRegular r:id="rId2" w:fontKey="{D0CFC5FA-B5B5-4F81-A926-FBF1A770E14E}"/>
  </w:font>
  <w:font w:name="楷体">
    <w:panose1 w:val="02010609060101010101"/>
    <w:charset w:val="86"/>
    <w:family w:val="modern"/>
    <w:pitch w:val="default"/>
    <w:sig w:usb0="800002BF" w:usb1="38CF7CFA" w:usb2="00000016" w:usb3="00000000" w:csb0="00040001" w:csb1="00000000"/>
    <w:embedRegular r:id="rId3" w:fontKey="{5BCF71A9-0903-4F65-ACBB-7C07652A3D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7508"/>
    </w:sdtPr>
    <w:sdtContent>
      <w:p w14:paraId="7D681A46">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6DD28DC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MxZDI1NGE1NTI4MWIxYTIzNjljZDNmMTIzMzhmNjAifQ=="/>
  </w:docVars>
  <w:rsids>
    <w:rsidRoot w:val="00047C66"/>
    <w:rsid w:val="000008C1"/>
    <w:rsid w:val="00006009"/>
    <w:rsid w:val="00026181"/>
    <w:rsid w:val="0004550C"/>
    <w:rsid w:val="00047C66"/>
    <w:rsid w:val="000C2CD9"/>
    <w:rsid w:val="000F21A6"/>
    <w:rsid w:val="000F51DA"/>
    <w:rsid w:val="001069DE"/>
    <w:rsid w:val="001179A6"/>
    <w:rsid w:val="00127E0C"/>
    <w:rsid w:val="00130570"/>
    <w:rsid w:val="001579DD"/>
    <w:rsid w:val="00170270"/>
    <w:rsid w:val="001A40AF"/>
    <w:rsid w:val="001B0F6D"/>
    <w:rsid w:val="001B64AD"/>
    <w:rsid w:val="001C7557"/>
    <w:rsid w:val="001F5B00"/>
    <w:rsid w:val="00216AA1"/>
    <w:rsid w:val="0022284F"/>
    <w:rsid w:val="00225BD2"/>
    <w:rsid w:val="0023330C"/>
    <w:rsid w:val="00233769"/>
    <w:rsid w:val="00242197"/>
    <w:rsid w:val="002608D9"/>
    <w:rsid w:val="002A09E1"/>
    <w:rsid w:val="002A1053"/>
    <w:rsid w:val="002C4584"/>
    <w:rsid w:val="002D315C"/>
    <w:rsid w:val="00321E06"/>
    <w:rsid w:val="0033295B"/>
    <w:rsid w:val="00375047"/>
    <w:rsid w:val="00391F10"/>
    <w:rsid w:val="00393C50"/>
    <w:rsid w:val="003B2DF4"/>
    <w:rsid w:val="003F25B9"/>
    <w:rsid w:val="003F4867"/>
    <w:rsid w:val="0040181B"/>
    <w:rsid w:val="0040518C"/>
    <w:rsid w:val="00431DC9"/>
    <w:rsid w:val="00442FE6"/>
    <w:rsid w:val="00460BAE"/>
    <w:rsid w:val="00473860"/>
    <w:rsid w:val="00487F4B"/>
    <w:rsid w:val="004B2DA9"/>
    <w:rsid w:val="004E2B4F"/>
    <w:rsid w:val="00506C73"/>
    <w:rsid w:val="005142DC"/>
    <w:rsid w:val="005538A8"/>
    <w:rsid w:val="005A3FCE"/>
    <w:rsid w:val="005B1418"/>
    <w:rsid w:val="005D48C5"/>
    <w:rsid w:val="005D7F28"/>
    <w:rsid w:val="005E41B4"/>
    <w:rsid w:val="005E4F69"/>
    <w:rsid w:val="00616E8E"/>
    <w:rsid w:val="00623D61"/>
    <w:rsid w:val="00635F0C"/>
    <w:rsid w:val="00652116"/>
    <w:rsid w:val="00661B84"/>
    <w:rsid w:val="00673B08"/>
    <w:rsid w:val="006B25D5"/>
    <w:rsid w:val="006C515B"/>
    <w:rsid w:val="006D64B3"/>
    <w:rsid w:val="00700445"/>
    <w:rsid w:val="00725329"/>
    <w:rsid w:val="00761DCC"/>
    <w:rsid w:val="00774BBA"/>
    <w:rsid w:val="00781E72"/>
    <w:rsid w:val="0078433E"/>
    <w:rsid w:val="0079314C"/>
    <w:rsid w:val="007B5805"/>
    <w:rsid w:val="007C6C03"/>
    <w:rsid w:val="007F5BEF"/>
    <w:rsid w:val="00815723"/>
    <w:rsid w:val="00820E97"/>
    <w:rsid w:val="0083157B"/>
    <w:rsid w:val="00832799"/>
    <w:rsid w:val="00845134"/>
    <w:rsid w:val="00846290"/>
    <w:rsid w:val="00880F54"/>
    <w:rsid w:val="008C595F"/>
    <w:rsid w:val="008D69D3"/>
    <w:rsid w:val="008F14C9"/>
    <w:rsid w:val="00916FA0"/>
    <w:rsid w:val="00940077"/>
    <w:rsid w:val="009546E0"/>
    <w:rsid w:val="009736D1"/>
    <w:rsid w:val="0097740D"/>
    <w:rsid w:val="009778A2"/>
    <w:rsid w:val="009A4DBD"/>
    <w:rsid w:val="009B642D"/>
    <w:rsid w:val="009D13A2"/>
    <w:rsid w:val="009E737E"/>
    <w:rsid w:val="00A032E6"/>
    <w:rsid w:val="00A066CF"/>
    <w:rsid w:val="00A32B2E"/>
    <w:rsid w:val="00A42B05"/>
    <w:rsid w:val="00A640BF"/>
    <w:rsid w:val="00A9433F"/>
    <w:rsid w:val="00AD6BB5"/>
    <w:rsid w:val="00AF2527"/>
    <w:rsid w:val="00AF265A"/>
    <w:rsid w:val="00B41128"/>
    <w:rsid w:val="00B45E40"/>
    <w:rsid w:val="00B55170"/>
    <w:rsid w:val="00B56867"/>
    <w:rsid w:val="00B57718"/>
    <w:rsid w:val="00B57880"/>
    <w:rsid w:val="00BB21FB"/>
    <w:rsid w:val="00BC48CE"/>
    <w:rsid w:val="00BE034A"/>
    <w:rsid w:val="00BE36DC"/>
    <w:rsid w:val="00BE3DCE"/>
    <w:rsid w:val="00C103E0"/>
    <w:rsid w:val="00C17BDE"/>
    <w:rsid w:val="00C21878"/>
    <w:rsid w:val="00C35CC7"/>
    <w:rsid w:val="00C56CCF"/>
    <w:rsid w:val="00CB08F0"/>
    <w:rsid w:val="00CC1B21"/>
    <w:rsid w:val="00CC6754"/>
    <w:rsid w:val="00CD2F4A"/>
    <w:rsid w:val="00CD7497"/>
    <w:rsid w:val="00CE650F"/>
    <w:rsid w:val="00D130E4"/>
    <w:rsid w:val="00D2613B"/>
    <w:rsid w:val="00D33257"/>
    <w:rsid w:val="00D367D8"/>
    <w:rsid w:val="00D40726"/>
    <w:rsid w:val="00D5374F"/>
    <w:rsid w:val="00D65031"/>
    <w:rsid w:val="00D6679C"/>
    <w:rsid w:val="00D874C7"/>
    <w:rsid w:val="00D95344"/>
    <w:rsid w:val="00DA24F3"/>
    <w:rsid w:val="00DC1C66"/>
    <w:rsid w:val="00DF6D06"/>
    <w:rsid w:val="00E43623"/>
    <w:rsid w:val="00E84C82"/>
    <w:rsid w:val="00E90425"/>
    <w:rsid w:val="00EC6C7A"/>
    <w:rsid w:val="00ED3EB3"/>
    <w:rsid w:val="00EF0464"/>
    <w:rsid w:val="00F509E1"/>
    <w:rsid w:val="00F7795C"/>
    <w:rsid w:val="00F85755"/>
    <w:rsid w:val="00FF4308"/>
    <w:rsid w:val="033C0E47"/>
    <w:rsid w:val="076300FB"/>
    <w:rsid w:val="082F73A0"/>
    <w:rsid w:val="08964FFF"/>
    <w:rsid w:val="09181A0E"/>
    <w:rsid w:val="0E9B2A63"/>
    <w:rsid w:val="10DE0FD0"/>
    <w:rsid w:val="129F4368"/>
    <w:rsid w:val="1961203C"/>
    <w:rsid w:val="1A4038DA"/>
    <w:rsid w:val="1C2A4835"/>
    <w:rsid w:val="1D195CFD"/>
    <w:rsid w:val="1DEE64EF"/>
    <w:rsid w:val="208400F2"/>
    <w:rsid w:val="24736A6F"/>
    <w:rsid w:val="2A447ED5"/>
    <w:rsid w:val="2D074F39"/>
    <w:rsid w:val="30CD6E71"/>
    <w:rsid w:val="32AA4024"/>
    <w:rsid w:val="38500282"/>
    <w:rsid w:val="38E473A6"/>
    <w:rsid w:val="3C5658B9"/>
    <w:rsid w:val="3D6E364A"/>
    <w:rsid w:val="3DC42D79"/>
    <w:rsid w:val="424B3B65"/>
    <w:rsid w:val="43891965"/>
    <w:rsid w:val="4E966638"/>
    <w:rsid w:val="53BE7C8C"/>
    <w:rsid w:val="57543DE6"/>
    <w:rsid w:val="5D782918"/>
    <w:rsid w:val="60A66F3D"/>
    <w:rsid w:val="62BC033D"/>
    <w:rsid w:val="63400ABB"/>
    <w:rsid w:val="67641A1E"/>
    <w:rsid w:val="68CF03AB"/>
    <w:rsid w:val="6CF44575"/>
    <w:rsid w:val="7A011360"/>
    <w:rsid w:val="FF8FD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50" w:line="330" w:lineRule="atLeast"/>
      <w:jc w:val="left"/>
    </w:pPr>
    <w:rPr>
      <w:rFonts w:ascii="宋体" w:hAnsi="宋体" w:eastAsia="宋体" w:cs="宋体"/>
      <w:color w:val="171F46"/>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paragraph" w:customStyle="1" w:styleId="10">
    <w:name w:val="列出段落1"/>
    <w:basedOn w:val="1"/>
    <w:next w:val="1"/>
    <w:qFormat/>
    <w:uiPriority w:val="34"/>
    <w:pPr>
      <w:ind w:left="720"/>
      <w:contextualSpacing/>
    </w:p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 w:type="paragraph" w:customStyle="1" w:styleId="13">
    <w:name w:val="pagenumber"/>
    <w:basedOn w:val="1"/>
    <w:qFormat/>
    <w:uiPriority w:val="0"/>
    <w:pPr>
      <w:widowControl/>
      <w:spacing w:after="150" w:line="330" w:lineRule="atLeast"/>
      <w:jc w:val="left"/>
    </w:pPr>
    <w:rPr>
      <w:rFonts w:ascii="宋体" w:hAnsi="宋体" w:eastAsia="宋体" w:cs="宋体"/>
      <w:color w:val="171F46"/>
      <w:kern w:val="0"/>
      <w:sz w:val="24"/>
      <w:szCs w:val="24"/>
    </w:rPr>
  </w:style>
  <w:style w:type="character" w:customStyle="1" w:styleId="14">
    <w:name w:val="wx_search_keyword_wrap"/>
    <w:basedOn w:val="8"/>
    <w:qFormat/>
    <w:uiPriority w:val="0"/>
  </w:style>
  <w:style w:type="character" w:customStyle="1" w:styleId="15">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1909</Words>
  <Characters>1983</Characters>
  <Lines>1</Lines>
  <Paragraphs>4</Paragraphs>
  <TotalTime>16</TotalTime>
  <ScaleCrop>false</ScaleCrop>
  <LinksUpToDate>false</LinksUpToDate>
  <CharactersWithSpaces>2060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2024-10-12T04:02:00Z</dcterms:created>
  <dc:creator>HP</dc:creator>
  <cp:lastModifiedBy>☔️</cp:lastModifiedBy>
  <cp:lastPrinted>2024-10-08T18:11:00Z</cp:lastPrinted>
  <dcterms:modified xsi:type="dcterms:W3CDTF">2024-10-12T06:43:44Z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360EB6DD9AC9455CA669ACE8125047CC_12</vt:lpwstr>
  </property>
</Properties>
</file>