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9A" w:rsidRDefault="00DD549A" w:rsidP="00DD549A">
      <w:pPr>
        <w:adjustRightInd w:val="0"/>
        <w:snapToGrid w:val="0"/>
        <w:spacing w:line="360" w:lineRule="auto"/>
        <w:rPr>
          <w:rFonts w:ascii="宋体" w:hAnsi="宋体"/>
          <w:bCs/>
          <w:snapToGrid w:val="0"/>
          <w:kern w:val="0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证券代码：600117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 w:rsidR="00EA5D36">
        <w:rPr>
          <w:rFonts w:ascii="宋体" w:cs="宋体"/>
          <w:sz w:val="28"/>
          <w:szCs w:val="28"/>
        </w:rPr>
        <w:t xml:space="preserve">                      </w:t>
      </w:r>
      <w:r>
        <w:rPr>
          <w:rFonts w:ascii="宋体" w:cs="宋体" w:hint="eastAsia"/>
          <w:sz w:val="28"/>
          <w:szCs w:val="28"/>
        </w:rPr>
        <w:t>证券简称：</w:t>
      </w:r>
      <w:r w:rsidR="001402D1">
        <w:rPr>
          <w:rFonts w:ascii="宋体" w:hAnsi="宋体" w:hint="eastAsia"/>
          <w:bCs/>
          <w:snapToGrid w:val="0"/>
          <w:kern w:val="0"/>
          <w:sz w:val="28"/>
          <w:szCs w:val="28"/>
        </w:rPr>
        <w:t>西宁特钢</w:t>
      </w:r>
      <w:r>
        <w:rPr>
          <w:rFonts w:ascii="宋体" w:hAnsi="宋体"/>
          <w:bCs/>
          <w:snapToGrid w:val="0"/>
          <w:kern w:val="0"/>
          <w:sz w:val="28"/>
          <w:szCs w:val="28"/>
        </w:rPr>
        <w:t xml:space="preserve"> </w:t>
      </w:r>
    </w:p>
    <w:p w:rsidR="00956EA3" w:rsidRDefault="00A35C9D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DD549A" w:rsidRPr="00DD549A" w:rsidRDefault="00940E59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西宁特殊钢股份有限</w:t>
      </w:r>
      <w:r w:rsidR="00A35C9D"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公司</w:t>
      </w:r>
    </w:p>
    <w:p w:rsidR="00956EA3" w:rsidRPr="00DD549A" w:rsidRDefault="00A35C9D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投资者关系活动记录表</w:t>
      </w:r>
    </w:p>
    <w:p w:rsidR="00DD549A" w:rsidRDefault="00DD549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</w:p>
    <w:p w:rsidR="00DD549A" w:rsidRDefault="00DD549A" w:rsidP="00DD549A">
      <w:pPr>
        <w:spacing w:line="276" w:lineRule="auto"/>
        <w:ind w:firstLineChars="200" w:firstLine="560"/>
        <w:rPr>
          <w:rFonts w:ascii="楷体_GB2312" w:eastAsia="楷体_GB2312" w:hAnsi="Times New Roman"/>
          <w:snapToGrid w:val="0"/>
          <w:sz w:val="28"/>
          <w:szCs w:val="28"/>
        </w:rPr>
      </w:pPr>
      <w:r>
        <w:rPr>
          <w:rFonts w:ascii="楷体_GB2312" w:eastAsia="楷体_GB2312" w:hAnsi="Times New Roman" w:hint="eastAsia"/>
          <w:snapToGrid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Pr="00DD549A">
        <w:rPr>
          <w:rFonts w:ascii="宋体" w:hAnsi="宋体" w:cs="宋体"/>
          <w:b/>
          <w:kern w:val="0"/>
          <w:sz w:val="28"/>
          <w:szCs w:val="28"/>
        </w:rPr>
        <w:t>、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投资者关系活动类别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</w:t>
      </w:r>
      <w:r w:rsidRPr="00DD549A">
        <w:rPr>
          <w:rFonts w:ascii="宋体" w:hAnsi="宋体" w:cs="宋体"/>
          <w:kern w:val="0"/>
          <w:sz w:val="28"/>
          <w:szCs w:val="28"/>
        </w:rPr>
        <w:t>特定对象调研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□分析师会议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 xml:space="preserve">□媒体采访  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□新闻发布会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□现场参观</w:t>
      </w:r>
      <w:r w:rsidRPr="00DD549A">
        <w:rPr>
          <w:rFonts w:ascii="宋体" w:hAnsi="宋体" w:cs="宋体" w:hint="eastAsia"/>
          <w:kern w:val="0"/>
          <w:sz w:val="28"/>
          <w:szCs w:val="28"/>
        </w:rPr>
        <w:tab/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sym w:font="Wingdings" w:char="F0FE"/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□其他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549A">
        <w:rPr>
          <w:rFonts w:ascii="宋体" w:hAnsi="宋体" w:cs="宋体"/>
          <w:b/>
          <w:kern w:val="0"/>
          <w:sz w:val="28"/>
          <w:szCs w:val="28"/>
        </w:rPr>
        <w:t>、 投资者关系活动情况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活动时间：2024年</w:t>
      </w:r>
      <w:r w:rsidR="001402D1">
        <w:rPr>
          <w:rFonts w:ascii="宋体" w:hAnsi="宋体" w:cs="宋体"/>
          <w:kern w:val="0"/>
          <w:sz w:val="28"/>
          <w:szCs w:val="28"/>
        </w:rPr>
        <w:t>10</w:t>
      </w:r>
      <w:r w:rsidRPr="00DD549A">
        <w:rPr>
          <w:rFonts w:ascii="宋体" w:hAnsi="宋体" w:cs="宋体"/>
          <w:kern w:val="0"/>
          <w:sz w:val="28"/>
          <w:szCs w:val="28"/>
        </w:rPr>
        <w:t>月</w:t>
      </w:r>
      <w:r w:rsidR="001402D1">
        <w:rPr>
          <w:rFonts w:ascii="宋体" w:hAnsi="宋体" w:cs="宋体"/>
          <w:kern w:val="0"/>
          <w:sz w:val="28"/>
          <w:szCs w:val="28"/>
        </w:rPr>
        <w:t>15</w:t>
      </w:r>
      <w:r w:rsidRPr="00DD549A">
        <w:rPr>
          <w:rFonts w:ascii="宋体" w:hAnsi="宋体" w:cs="宋体"/>
          <w:kern w:val="0"/>
          <w:sz w:val="28"/>
          <w:szCs w:val="28"/>
        </w:rPr>
        <w:t xml:space="preserve">日 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活动地点：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上海证券交易所上证路演中心（网址：http://roadshow.sseinfo.com/）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参会单位及人员：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以网络互动的方式线上参与公司2024年</w:t>
      </w:r>
      <w:r w:rsidR="001402D1">
        <w:rPr>
          <w:rFonts w:ascii="宋体" w:hAnsi="宋体" w:cs="宋体" w:hint="eastAsia"/>
          <w:kern w:val="0"/>
          <w:sz w:val="28"/>
          <w:szCs w:val="28"/>
        </w:rPr>
        <w:t>半年度</w:t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业绩说明会的投资者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上市公司接待人员：董事、总经理</w:t>
      </w:r>
      <w:r w:rsidRPr="00DD549A">
        <w:rPr>
          <w:rFonts w:ascii="宋体" w:hAnsi="宋体" w:cs="宋体" w:hint="eastAsia"/>
          <w:kern w:val="0"/>
          <w:sz w:val="28"/>
          <w:szCs w:val="28"/>
        </w:rPr>
        <w:t>丁广伟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Pr="00DD549A">
        <w:rPr>
          <w:rFonts w:ascii="宋体" w:hAnsi="宋体" w:cs="宋体" w:hint="eastAsia"/>
          <w:kern w:val="0"/>
          <w:sz w:val="28"/>
          <w:szCs w:val="28"/>
        </w:rPr>
        <w:t>；独立董事</w:t>
      </w:r>
      <w:r w:rsidRPr="00DD549A">
        <w:rPr>
          <w:rFonts w:ascii="宋体" w:hAnsi="宋体" w:cs="宋体"/>
          <w:kern w:val="0"/>
          <w:sz w:val="28"/>
          <w:szCs w:val="28"/>
        </w:rPr>
        <w:t>范增裕先生；副总经理、财务总监</w:t>
      </w:r>
      <w:r w:rsidRPr="00DD549A">
        <w:rPr>
          <w:rFonts w:ascii="宋体" w:hAnsi="宋体" w:cs="宋体" w:hint="eastAsia"/>
          <w:kern w:val="0"/>
          <w:sz w:val="28"/>
          <w:szCs w:val="28"/>
        </w:rPr>
        <w:t>周泳先生</w:t>
      </w:r>
      <w:r w:rsidRPr="00DD549A">
        <w:rPr>
          <w:rFonts w:ascii="宋体" w:hAnsi="宋体" w:cs="宋体"/>
          <w:kern w:val="0"/>
          <w:sz w:val="28"/>
          <w:szCs w:val="28"/>
        </w:rPr>
        <w:t>；</w:t>
      </w:r>
      <w:r w:rsidRPr="00DD549A">
        <w:rPr>
          <w:rFonts w:ascii="宋体" w:hAnsi="宋体" w:cs="宋体" w:hint="eastAsia"/>
          <w:kern w:val="0"/>
          <w:sz w:val="28"/>
          <w:szCs w:val="28"/>
        </w:rPr>
        <w:t>董事会</w:t>
      </w:r>
      <w:r w:rsidRPr="00DD549A">
        <w:rPr>
          <w:rFonts w:ascii="宋体" w:hAnsi="宋体" w:cs="宋体"/>
          <w:kern w:val="0"/>
          <w:sz w:val="28"/>
          <w:szCs w:val="28"/>
        </w:rPr>
        <w:t>秘书</w:t>
      </w:r>
      <w:r w:rsidRPr="00DD549A">
        <w:rPr>
          <w:rFonts w:ascii="宋体" w:hAnsi="宋体" w:cs="宋体" w:hint="eastAsia"/>
          <w:kern w:val="0"/>
          <w:sz w:val="28"/>
          <w:szCs w:val="28"/>
        </w:rPr>
        <w:t>焦付良</w:t>
      </w:r>
      <w:r w:rsidRPr="00DD549A">
        <w:rPr>
          <w:rFonts w:ascii="宋体" w:hAnsi="宋体" w:cs="宋体"/>
          <w:kern w:val="0"/>
          <w:sz w:val="28"/>
          <w:szCs w:val="28"/>
        </w:rPr>
        <w:t>先生</w:t>
      </w:r>
      <w:r w:rsidR="001402D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/>
          <w:b/>
          <w:kern w:val="0"/>
          <w:sz w:val="28"/>
          <w:szCs w:val="28"/>
        </w:rPr>
        <w:lastRenderedPageBreak/>
        <w:t>三、 投资者关系活动主要内容</w:t>
      </w:r>
    </w:p>
    <w:p w:rsidR="001402D1" w:rsidRPr="00DD549A" w:rsidRDefault="001402D1" w:rsidP="001402D1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1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、问题</w:t>
      </w:r>
      <w:r w:rsidRPr="00DD549A">
        <w:rPr>
          <w:rFonts w:ascii="宋体" w:hAnsi="宋体" w:cs="宋体"/>
          <w:b/>
          <w:kern w:val="0"/>
          <w:sz w:val="28"/>
          <w:szCs w:val="28"/>
        </w:rPr>
        <w:t>：</w:t>
      </w:r>
      <w:r w:rsidRPr="001402D1">
        <w:rPr>
          <w:rFonts w:ascii="宋体" w:hAnsi="宋体" w:cs="宋体" w:hint="eastAsia"/>
          <w:b/>
          <w:kern w:val="0"/>
          <w:sz w:val="28"/>
          <w:szCs w:val="28"/>
        </w:rPr>
        <w:t>请问钢铁资产什么时候注入？</w:t>
      </w:r>
    </w:p>
    <w:p w:rsidR="001402D1" w:rsidRPr="001402D1" w:rsidRDefault="001402D1" w:rsidP="001402D1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回</w:t>
      </w:r>
      <w:r>
        <w:rPr>
          <w:rFonts w:ascii="宋体" w:hAnsi="宋体" w:cs="宋体" w:hint="eastAsia"/>
          <w:kern w:val="0"/>
          <w:sz w:val="28"/>
          <w:szCs w:val="28"/>
        </w:rPr>
        <w:t>答</w:t>
      </w:r>
      <w:r w:rsidRPr="00DD549A">
        <w:rPr>
          <w:rFonts w:ascii="宋体" w:hAnsi="宋体" w:cs="宋体"/>
          <w:kern w:val="0"/>
          <w:sz w:val="28"/>
          <w:szCs w:val="28"/>
        </w:rPr>
        <w:t>：</w:t>
      </w:r>
      <w:r w:rsidRPr="001402D1">
        <w:rPr>
          <w:rFonts w:ascii="宋体" w:hAnsi="宋体" w:cs="宋体" w:hint="eastAsia"/>
          <w:kern w:val="0"/>
          <w:sz w:val="28"/>
          <w:szCs w:val="28"/>
        </w:rPr>
        <w:t>尊敬的投资者您好，公司尚处于恢复爬升期，未来公司如有钢铁资产等注入计划，拓展公司钢铁业务将按照监管部门相关规定履行披露义务，感谢您对公司的关注。</w:t>
      </w:r>
    </w:p>
    <w:p w:rsidR="00DD549A" w:rsidRPr="00DD549A" w:rsidRDefault="001402D1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2</w:t>
      </w:r>
      <w:r w:rsidR="00DD549A" w:rsidRPr="00DD549A">
        <w:rPr>
          <w:rFonts w:ascii="宋体" w:hAnsi="宋体" w:cs="宋体" w:hint="eastAsia"/>
          <w:b/>
          <w:kern w:val="0"/>
          <w:sz w:val="28"/>
          <w:szCs w:val="28"/>
        </w:rPr>
        <w:t>、问题：</w:t>
      </w:r>
      <w:r w:rsidRPr="001402D1">
        <w:rPr>
          <w:rFonts w:ascii="宋体" w:hAnsi="宋体" w:cs="宋体" w:hint="eastAsia"/>
          <w:b/>
          <w:kern w:val="0"/>
          <w:sz w:val="28"/>
          <w:szCs w:val="28"/>
        </w:rPr>
        <w:t>请问公司对未来的市场份额及盈利情况如何预测，谢谢！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回</w:t>
      </w:r>
      <w:r>
        <w:rPr>
          <w:rFonts w:ascii="宋体" w:hAnsi="宋体" w:cs="宋体" w:hint="eastAsia"/>
          <w:kern w:val="0"/>
          <w:sz w:val="28"/>
          <w:szCs w:val="28"/>
        </w:rPr>
        <w:t>答</w:t>
      </w:r>
      <w:r w:rsidRPr="00DD549A">
        <w:rPr>
          <w:rFonts w:ascii="宋体" w:hAnsi="宋体" w:cs="宋体"/>
          <w:kern w:val="0"/>
          <w:sz w:val="28"/>
          <w:szCs w:val="28"/>
        </w:rPr>
        <w:t>：</w:t>
      </w:r>
      <w:r w:rsidR="001402D1" w:rsidRPr="001402D1">
        <w:rPr>
          <w:rFonts w:ascii="宋体" w:hAnsi="宋体" w:cs="宋体" w:hint="eastAsia"/>
          <w:kern w:val="0"/>
          <w:sz w:val="28"/>
          <w:szCs w:val="28"/>
        </w:rPr>
        <w:t>尊敬的投资者您好，公司是中国西部地区最大的特殊钢生产基地，公司产品具有较好的品牌优势，广泛应用在汽车、工程机械、铁路、船舶、石油化工、矿山机械、煤炭机械、新能源、兵器装备及航空航天等行业。作为国家战略后备生产基地和西部大开发的重点区域，西部地区得到国家政策的大力倾斜，特别是“一带一路”、铁路及油气管道等一批“强基础、增功能、利长远”重大项目的建设，带动了机械制造及相关行业的复苏，区域市场对于钢材的需求稳步扩大，未来为公司提供了良好的市场前景，给公司带来更大的盈利能力。感谢您对公司的关注。</w:t>
      </w:r>
    </w:p>
    <w:p w:rsidR="00DD549A" w:rsidRPr="00DD549A" w:rsidRDefault="001402D1" w:rsidP="001402D1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3</w:t>
      </w:r>
      <w:r w:rsidR="00DD549A" w:rsidRPr="00DD549A">
        <w:rPr>
          <w:rFonts w:ascii="宋体" w:hAnsi="宋体" w:cs="宋体" w:hint="eastAsia"/>
          <w:b/>
          <w:kern w:val="0"/>
          <w:sz w:val="28"/>
          <w:szCs w:val="28"/>
        </w:rPr>
        <w:t>、问题：</w:t>
      </w:r>
      <w:r w:rsidRPr="001402D1">
        <w:rPr>
          <w:rFonts w:ascii="宋体" w:hAnsi="宋体" w:cs="宋体" w:hint="eastAsia"/>
          <w:b/>
          <w:kern w:val="0"/>
          <w:sz w:val="28"/>
          <w:szCs w:val="28"/>
        </w:rPr>
        <w:t>请问公司今年是否有信心完成较好的业绩，来回馈公司的投资者？公司今年的增长点主要是哪些？</w:t>
      </w:r>
    </w:p>
    <w:p w:rsidR="00DD549A" w:rsidRPr="00DD549A" w:rsidRDefault="00DD549A" w:rsidP="001402D1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回</w:t>
      </w:r>
      <w:r>
        <w:rPr>
          <w:rFonts w:ascii="宋体" w:hAnsi="宋体" w:cs="宋体" w:hint="eastAsia"/>
          <w:kern w:val="0"/>
          <w:sz w:val="28"/>
          <w:szCs w:val="28"/>
        </w:rPr>
        <w:t>答</w:t>
      </w:r>
      <w:r w:rsidRPr="00DD549A">
        <w:rPr>
          <w:rFonts w:ascii="宋体" w:hAnsi="宋体" w:cs="宋体"/>
          <w:kern w:val="0"/>
          <w:sz w:val="28"/>
          <w:szCs w:val="28"/>
        </w:rPr>
        <w:t>：</w:t>
      </w:r>
      <w:r w:rsidR="001402D1" w:rsidRPr="001402D1">
        <w:rPr>
          <w:rFonts w:ascii="宋体" w:hAnsi="宋体" w:cs="宋体" w:hint="eastAsia"/>
          <w:kern w:val="0"/>
          <w:sz w:val="28"/>
          <w:szCs w:val="28"/>
        </w:rPr>
        <w:t>尊敬的投资者您好</w:t>
      </w:r>
      <w:r w:rsidR="001402D1">
        <w:rPr>
          <w:rFonts w:ascii="宋体" w:hAnsi="宋体" w:cs="宋体" w:hint="eastAsia"/>
          <w:kern w:val="0"/>
          <w:sz w:val="28"/>
          <w:szCs w:val="28"/>
        </w:rPr>
        <w:t>，</w:t>
      </w:r>
      <w:r w:rsidR="001402D1" w:rsidRPr="001402D1">
        <w:rPr>
          <w:rFonts w:ascii="宋体" w:hAnsi="宋体" w:cs="宋体" w:hint="eastAsia"/>
          <w:kern w:val="0"/>
          <w:sz w:val="28"/>
          <w:szCs w:val="28"/>
        </w:rPr>
        <w:t>公司将在建龙集团的带领支持下，坚定不移的发展特钢产业，通过优化生产工艺，实施环保升级改造，提高管理能力，全面降本增效等多措并举，做优做强主业。公司有能力，有信心提高经营业绩，回馈广大投资者。感谢您对公司支持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/>
          <w:b/>
          <w:kern w:val="0"/>
          <w:sz w:val="28"/>
          <w:szCs w:val="28"/>
        </w:rPr>
        <w:t>4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、问题</w:t>
      </w:r>
      <w:r w:rsidRPr="00DD549A">
        <w:rPr>
          <w:rFonts w:ascii="宋体" w:hAnsi="宋体" w:cs="宋体"/>
          <w:b/>
          <w:kern w:val="0"/>
          <w:sz w:val="28"/>
          <w:szCs w:val="28"/>
        </w:rPr>
        <w:t>：</w:t>
      </w:r>
      <w:r w:rsidR="00002A4B" w:rsidRPr="00002A4B">
        <w:rPr>
          <w:rFonts w:ascii="宋体" w:hAnsi="宋体" w:cs="宋体" w:hint="eastAsia"/>
          <w:b/>
          <w:kern w:val="0"/>
          <w:sz w:val="28"/>
          <w:szCs w:val="28"/>
        </w:rPr>
        <w:t>重整后，公司采取了哪些积极的生产经营改善措施，目前产能情况如何，产能利用率可达到多少，预计什么时候可以实现满产？2024年公司有哪些经营计划？</w:t>
      </w:r>
    </w:p>
    <w:p w:rsidR="00DD549A" w:rsidRPr="00002A4B" w:rsidRDefault="00DD549A" w:rsidP="00002A4B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lastRenderedPageBreak/>
        <w:t>回</w:t>
      </w:r>
      <w:r>
        <w:rPr>
          <w:rFonts w:ascii="宋体" w:hAnsi="宋体" w:cs="宋体" w:hint="eastAsia"/>
          <w:kern w:val="0"/>
          <w:sz w:val="28"/>
          <w:szCs w:val="28"/>
        </w:rPr>
        <w:t>答</w:t>
      </w:r>
      <w:r w:rsidRPr="00DD549A">
        <w:rPr>
          <w:rFonts w:ascii="宋体" w:hAnsi="宋体" w:cs="宋体"/>
          <w:kern w:val="0"/>
          <w:sz w:val="28"/>
          <w:szCs w:val="28"/>
        </w:rPr>
        <w:t>：</w:t>
      </w:r>
      <w:r w:rsidR="00002A4B" w:rsidRPr="00002A4B">
        <w:rPr>
          <w:rFonts w:ascii="宋体" w:hAnsi="宋体" w:cs="宋体" w:hint="eastAsia"/>
          <w:kern w:val="0"/>
          <w:sz w:val="28"/>
          <w:szCs w:val="28"/>
        </w:rPr>
        <w:t>尊敬的投资者您好，</w:t>
      </w:r>
      <w:r w:rsidR="0056041D">
        <w:rPr>
          <w:rFonts w:ascii="宋体" w:hAnsi="宋体" w:cs="宋体"/>
          <w:kern w:val="0"/>
          <w:sz w:val="28"/>
          <w:szCs w:val="28"/>
        </w:rPr>
        <w:t>2024</w:t>
      </w:r>
      <w:r w:rsidR="00002A4B" w:rsidRPr="00002A4B">
        <w:rPr>
          <w:rFonts w:ascii="宋体" w:hAnsi="宋体" w:cs="宋体" w:hint="eastAsia"/>
          <w:kern w:val="0"/>
          <w:sz w:val="28"/>
          <w:szCs w:val="28"/>
        </w:rPr>
        <w:t>年为公司重整后的第一年，公司以高效恢复生产经营、快速提升盈利能力、保障职工利益为原则，多措并举，力争尽快恢复经营活力。公司为了完成年度经营目标及计划，主要通过以下几方面措施，改善经营状况：一是依托控股股东建龙集团高端供应链体系、成熟管理经验，推动大宗原燃辅料的平台采购，提高市场议价能力，降低采购成本。二是通过实施铁前一体化管理、优化高炉炉料结构和生产工艺，降低铁水成本；优化工艺操作，系统提升各工序技经指标，降低工序成本。三是建立能源调度与监督管理体系，全力推行极致能效管理；全面实施能源技改工程，实现各工序余热回收。65MW发电项目有序推进，建成后将提高自发电率；最终实现能源综合利用水平的大幅提升。四是优化内部物流，成立专门的主管内部物流的管理机构，构建物流管理体系，系统管控物流运行全过程，降低内部物流费用。五是产品销售方面，加强对市场的分析和预测，积极响应国家经济政策要求，及时调整公司经营计划，创新营销模式。优化生产组织模式，切实提高运行效率，优化品种结构，增强盈利能力和市场竞争力。六是加强财务管理，提升资金管控水平。发挥全面预算管理统筹作用，以管控现金流为核心，深入开展稳产提质降本增效。上半年公司生产钢64.93万吨，较同期增加58.83%；生产材63.27万吨，较同期增加62.4%，产能利用率不断提升。感谢您对公司的关注。</w:t>
      </w:r>
    </w:p>
    <w:p w:rsidR="00002A4B" w:rsidRDefault="00002A4B" w:rsidP="00DD549A">
      <w:pPr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002A4B" w:rsidRDefault="00002A4B" w:rsidP="00DD549A">
      <w:pPr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002A4B" w:rsidRDefault="00002A4B" w:rsidP="00DD549A">
      <w:pPr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DD549A" w:rsidRDefault="00DD549A" w:rsidP="00002A4B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西宁特殊钢股份有限公司董事会</w:t>
      </w:r>
    </w:p>
    <w:p w:rsidR="00956EA3" w:rsidRPr="00002A4B" w:rsidRDefault="00DD549A" w:rsidP="00002A4B">
      <w:pPr>
        <w:spacing w:line="560" w:lineRule="exact"/>
        <w:ind w:firstLineChars="200" w:firstLine="56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                               202</w:t>
      </w:r>
      <w:bookmarkStart w:id="0" w:name="_GoBack"/>
      <w:bookmarkEnd w:id="0"/>
      <w:r>
        <w:rPr>
          <w:rFonts w:ascii="宋体" w:cs="宋体"/>
          <w:kern w:val="0"/>
          <w:sz w:val="28"/>
          <w:szCs w:val="28"/>
        </w:rPr>
        <w:t>4</w:t>
      </w:r>
      <w:r>
        <w:rPr>
          <w:rFonts w:ascii="宋体" w:cs="宋体" w:hint="eastAsia"/>
          <w:kern w:val="0"/>
          <w:sz w:val="28"/>
          <w:szCs w:val="28"/>
        </w:rPr>
        <w:t>年</w:t>
      </w:r>
      <w:r w:rsidR="0030757D">
        <w:rPr>
          <w:rFonts w:ascii="宋体" w:cs="宋体"/>
          <w:kern w:val="0"/>
          <w:sz w:val="28"/>
          <w:szCs w:val="28"/>
        </w:rPr>
        <w:t>10</w:t>
      </w:r>
      <w:r>
        <w:rPr>
          <w:rFonts w:ascii="宋体" w:cs="宋体" w:hint="eastAsia"/>
          <w:kern w:val="0"/>
          <w:sz w:val="28"/>
          <w:szCs w:val="28"/>
        </w:rPr>
        <w:t>月</w:t>
      </w:r>
      <w:r w:rsidR="0030757D">
        <w:rPr>
          <w:rFonts w:ascii="宋体" w:cs="宋体"/>
          <w:kern w:val="0"/>
          <w:sz w:val="28"/>
          <w:szCs w:val="28"/>
        </w:rPr>
        <w:t>15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sectPr w:rsidR="00956EA3" w:rsidRPr="00002A4B" w:rsidSect="00002A4B">
      <w:pgSz w:w="11906" w:h="16838"/>
      <w:pgMar w:top="1440" w:right="1797" w:bottom="1276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84" w:rsidRDefault="00967084">
      <w:r>
        <w:separator/>
      </w:r>
    </w:p>
  </w:endnote>
  <w:endnote w:type="continuationSeparator" w:id="0">
    <w:p w:rsidR="00967084" w:rsidRDefault="009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84" w:rsidRDefault="00967084">
      <w:r>
        <w:separator/>
      </w:r>
    </w:p>
  </w:footnote>
  <w:footnote w:type="continuationSeparator" w:id="0">
    <w:p w:rsidR="00967084" w:rsidRDefault="0096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7"/>
    <w:rsid w:val="00002A4B"/>
    <w:rsid w:val="00004450"/>
    <w:rsid w:val="0003699D"/>
    <w:rsid w:val="00037382"/>
    <w:rsid w:val="00044A8C"/>
    <w:rsid w:val="000557CB"/>
    <w:rsid w:val="00060EC2"/>
    <w:rsid w:val="0006462C"/>
    <w:rsid w:val="00086803"/>
    <w:rsid w:val="00087466"/>
    <w:rsid w:val="000935B7"/>
    <w:rsid w:val="000A194C"/>
    <w:rsid w:val="000A1F23"/>
    <w:rsid w:val="000B653A"/>
    <w:rsid w:val="000C40DB"/>
    <w:rsid w:val="000E32FF"/>
    <w:rsid w:val="000F401F"/>
    <w:rsid w:val="000F5B41"/>
    <w:rsid w:val="00101ED7"/>
    <w:rsid w:val="001047FE"/>
    <w:rsid w:val="00113E0B"/>
    <w:rsid w:val="00130E2A"/>
    <w:rsid w:val="001402D1"/>
    <w:rsid w:val="001453E3"/>
    <w:rsid w:val="001C20EA"/>
    <w:rsid w:val="001E043B"/>
    <w:rsid w:val="001E23E8"/>
    <w:rsid w:val="002236C1"/>
    <w:rsid w:val="00236517"/>
    <w:rsid w:val="002915A4"/>
    <w:rsid w:val="002961B7"/>
    <w:rsid w:val="002A0533"/>
    <w:rsid w:val="002B3622"/>
    <w:rsid w:val="002B39CD"/>
    <w:rsid w:val="00302659"/>
    <w:rsid w:val="0030757D"/>
    <w:rsid w:val="0031363D"/>
    <w:rsid w:val="0035341F"/>
    <w:rsid w:val="00386A5D"/>
    <w:rsid w:val="003A14CD"/>
    <w:rsid w:val="003B3DA1"/>
    <w:rsid w:val="003C34DC"/>
    <w:rsid w:val="003E0DEE"/>
    <w:rsid w:val="004030B4"/>
    <w:rsid w:val="00403DEC"/>
    <w:rsid w:val="00412B3C"/>
    <w:rsid w:val="00422B11"/>
    <w:rsid w:val="00446372"/>
    <w:rsid w:val="00450316"/>
    <w:rsid w:val="00470539"/>
    <w:rsid w:val="0048117D"/>
    <w:rsid w:val="0049046A"/>
    <w:rsid w:val="0049650C"/>
    <w:rsid w:val="004D5BEA"/>
    <w:rsid w:val="004E34B5"/>
    <w:rsid w:val="004F1C65"/>
    <w:rsid w:val="0050763D"/>
    <w:rsid w:val="00520A10"/>
    <w:rsid w:val="005242D2"/>
    <w:rsid w:val="005263C2"/>
    <w:rsid w:val="00550EA7"/>
    <w:rsid w:val="00554042"/>
    <w:rsid w:val="0056041D"/>
    <w:rsid w:val="00562BA0"/>
    <w:rsid w:val="005765A6"/>
    <w:rsid w:val="00583648"/>
    <w:rsid w:val="005A1A6B"/>
    <w:rsid w:val="005F130F"/>
    <w:rsid w:val="00607E8B"/>
    <w:rsid w:val="00622609"/>
    <w:rsid w:val="00625065"/>
    <w:rsid w:val="00625BE0"/>
    <w:rsid w:val="006343BA"/>
    <w:rsid w:val="00642946"/>
    <w:rsid w:val="00686BF4"/>
    <w:rsid w:val="00694273"/>
    <w:rsid w:val="006E166A"/>
    <w:rsid w:val="006F0744"/>
    <w:rsid w:val="00702654"/>
    <w:rsid w:val="00767BDC"/>
    <w:rsid w:val="0079344F"/>
    <w:rsid w:val="007969E3"/>
    <w:rsid w:val="007A652A"/>
    <w:rsid w:val="007B356F"/>
    <w:rsid w:val="007C165E"/>
    <w:rsid w:val="007D4AC0"/>
    <w:rsid w:val="00817613"/>
    <w:rsid w:val="0085799B"/>
    <w:rsid w:val="00860E21"/>
    <w:rsid w:val="00892449"/>
    <w:rsid w:val="008B1C89"/>
    <w:rsid w:val="008B2181"/>
    <w:rsid w:val="008C4139"/>
    <w:rsid w:val="008E1CA9"/>
    <w:rsid w:val="008F56B5"/>
    <w:rsid w:val="008F5F02"/>
    <w:rsid w:val="008F7D33"/>
    <w:rsid w:val="009310BD"/>
    <w:rsid w:val="00933396"/>
    <w:rsid w:val="00935F07"/>
    <w:rsid w:val="00940E59"/>
    <w:rsid w:val="009429CA"/>
    <w:rsid w:val="00956EA3"/>
    <w:rsid w:val="00967084"/>
    <w:rsid w:val="00975059"/>
    <w:rsid w:val="009931E3"/>
    <w:rsid w:val="00997D5D"/>
    <w:rsid w:val="009A3115"/>
    <w:rsid w:val="009B4A4D"/>
    <w:rsid w:val="009F3634"/>
    <w:rsid w:val="00A02792"/>
    <w:rsid w:val="00A212C7"/>
    <w:rsid w:val="00A35C9D"/>
    <w:rsid w:val="00A55ECB"/>
    <w:rsid w:val="00A7063E"/>
    <w:rsid w:val="00A72166"/>
    <w:rsid w:val="00A727C5"/>
    <w:rsid w:val="00A92973"/>
    <w:rsid w:val="00A94D7A"/>
    <w:rsid w:val="00AA3E75"/>
    <w:rsid w:val="00AD7E1C"/>
    <w:rsid w:val="00AF1AED"/>
    <w:rsid w:val="00B06FA1"/>
    <w:rsid w:val="00B30215"/>
    <w:rsid w:val="00B44423"/>
    <w:rsid w:val="00B5182F"/>
    <w:rsid w:val="00B647E3"/>
    <w:rsid w:val="00B663BF"/>
    <w:rsid w:val="00B67800"/>
    <w:rsid w:val="00B7249C"/>
    <w:rsid w:val="00B724A4"/>
    <w:rsid w:val="00B7635A"/>
    <w:rsid w:val="00B87438"/>
    <w:rsid w:val="00B97B92"/>
    <w:rsid w:val="00BA277C"/>
    <w:rsid w:val="00BB19A6"/>
    <w:rsid w:val="00BB6EAD"/>
    <w:rsid w:val="00BC324F"/>
    <w:rsid w:val="00BD1167"/>
    <w:rsid w:val="00BE4438"/>
    <w:rsid w:val="00C03E50"/>
    <w:rsid w:val="00C05C68"/>
    <w:rsid w:val="00C06CC5"/>
    <w:rsid w:val="00C07E57"/>
    <w:rsid w:val="00C12BA6"/>
    <w:rsid w:val="00CA4615"/>
    <w:rsid w:val="00CA7A8B"/>
    <w:rsid w:val="00CE2291"/>
    <w:rsid w:val="00CF7890"/>
    <w:rsid w:val="00D35B95"/>
    <w:rsid w:val="00D4436E"/>
    <w:rsid w:val="00D44E5F"/>
    <w:rsid w:val="00D54EA9"/>
    <w:rsid w:val="00D61341"/>
    <w:rsid w:val="00DD18BE"/>
    <w:rsid w:val="00DD549A"/>
    <w:rsid w:val="00E3501F"/>
    <w:rsid w:val="00E41520"/>
    <w:rsid w:val="00E612AD"/>
    <w:rsid w:val="00E8556E"/>
    <w:rsid w:val="00E93AD7"/>
    <w:rsid w:val="00EA5D36"/>
    <w:rsid w:val="00EC71EC"/>
    <w:rsid w:val="00EE33AB"/>
    <w:rsid w:val="00EF7494"/>
    <w:rsid w:val="00F064B2"/>
    <w:rsid w:val="00F26997"/>
    <w:rsid w:val="00F34ED6"/>
    <w:rsid w:val="00F37E87"/>
    <w:rsid w:val="00F40147"/>
    <w:rsid w:val="00F424E0"/>
    <w:rsid w:val="00F7530C"/>
    <w:rsid w:val="00F837C0"/>
    <w:rsid w:val="00F8725F"/>
    <w:rsid w:val="00FA214A"/>
    <w:rsid w:val="00FA3D32"/>
    <w:rsid w:val="00FB3454"/>
    <w:rsid w:val="00FC634E"/>
    <w:rsid w:val="00FC6A5B"/>
    <w:rsid w:val="00FD3A9C"/>
    <w:rsid w:val="00FF05F1"/>
    <w:rsid w:val="00FF14EA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303F1-C3EF-471B-8137-3C6AE07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0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940E5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40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0E59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DD549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焦付良</cp:lastModifiedBy>
  <cp:revision>25</cp:revision>
  <dcterms:created xsi:type="dcterms:W3CDTF">2021-07-12T02:22:00Z</dcterms:created>
  <dcterms:modified xsi:type="dcterms:W3CDTF">2024-10-15T06:30:00Z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