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证券代码：6</w:t>
      </w:r>
      <w:r>
        <w:rPr>
          <w:rFonts w:ascii="宋体" w:hAnsi="宋体" w:eastAsia="宋体"/>
          <w:color w:val="000000"/>
          <w:sz w:val="24"/>
        </w:rPr>
        <w:t>03004</w:t>
      </w:r>
      <w:r>
        <w:rPr>
          <w:rFonts w:hint="eastAsia" w:ascii="宋体" w:hAnsi="宋体" w:eastAsia="宋体"/>
          <w:color w:val="000000"/>
          <w:sz w:val="24"/>
        </w:rPr>
        <w:t xml:space="preserve">                              </w:t>
      </w:r>
      <w:r>
        <w:rPr>
          <w:rFonts w:ascii="宋体" w:hAnsi="宋体" w:eastAsia="宋体"/>
          <w:color w:val="000000"/>
          <w:sz w:val="24"/>
        </w:rPr>
        <w:t xml:space="preserve">     </w:t>
      </w:r>
      <w:r>
        <w:rPr>
          <w:rFonts w:hint="eastAsia" w:ascii="宋体" w:hAnsi="宋体" w:eastAsia="宋体"/>
          <w:color w:val="000000"/>
          <w:sz w:val="24"/>
        </w:rPr>
        <w:t>证券简称：鼎龙科技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浙江鼎龙科技股份有限公司</w:t>
      </w:r>
    </w:p>
    <w:p>
      <w:pPr>
        <w:spacing w:before="156" w:beforeLines="50" w:after="156" w:afterLines="50" w:line="400" w:lineRule="exact"/>
        <w:jc w:val="center"/>
        <w:rPr>
          <w:rFonts w:ascii="宋体" w:hAnsi="宋体" w:eastAsia="宋体"/>
          <w:b/>
          <w:color w:val="000000"/>
          <w:sz w:val="32"/>
        </w:rPr>
      </w:pPr>
      <w:r>
        <w:rPr>
          <w:rFonts w:hint="eastAsia" w:ascii="宋体" w:hAnsi="宋体" w:eastAsia="宋体"/>
          <w:b/>
          <w:color w:val="000000"/>
          <w:sz w:val="32"/>
        </w:rPr>
        <w:t>投资者关系活动记录表</w:t>
      </w:r>
    </w:p>
    <w:p>
      <w:pPr>
        <w:spacing w:line="400" w:lineRule="exac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 xml:space="preserve">                                                  </w:t>
      </w:r>
      <w:r>
        <w:rPr>
          <w:rFonts w:ascii="宋体" w:hAnsi="宋体" w:eastAsia="宋体"/>
          <w:color w:val="000000"/>
          <w:sz w:val="24"/>
        </w:rPr>
        <w:t xml:space="preserve">    </w:t>
      </w:r>
      <w:r>
        <w:rPr>
          <w:rFonts w:hint="eastAsia" w:ascii="宋体" w:hAnsi="宋体" w:eastAsia="宋体"/>
          <w:color w:val="000000"/>
          <w:sz w:val="24"/>
        </w:rPr>
        <w:t>编号：2</w:t>
      </w:r>
      <w:r>
        <w:rPr>
          <w:rFonts w:ascii="宋体" w:hAnsi="宋体" w:eastAsia="宋体"/>
          <w:color w:val="000000"/>
          <w:sz w:val="24"/>
        </w:rPr>
        <w:t>024-011</w:t>
      </w:r>
      <w:r>
        <w:rPr>
          <w:rFonts w:hint="eastAsia" w:ascii="宋体" w:hAnsi="宋体" w:eastAsia="宋体"/>
          <w:color w:val="000000"/>
          <w:sz w:val="24"/>
        </w:rPr>
        <w:t xml:space="preserve">      </w:t>
      </w:r>
    </w:p>
    <w:tbl>
      <w:tblPr>
        <w:tblStyle w:val="9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5"/>
        <w:gridCol w:w="64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投资者关系活动类别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分析师会议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业绩说明会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路演活动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现场参观</w:t>
            </w:r>
          </w:p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其他 （</w:t>
            </w:r>
            <w:r>
              <w:rPr>
                <w:rFonts w:hint="eastAsia" w:ascii="宋体" w:hAnsi="宋体" w:eastAsia="宋体"/>
                <w:sz w:val="24"/>
                <w:szCs w:val="24"/>
                <w:u w:val="single"/>
              </w:rPr>
              <w:t>请文字说明其他活动内容）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参与单位名称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360" w:lineRule="auto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海通证券孙维容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时间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  <w:r>
              <w:rPr>
                <w:rFonts w:ascii="宋体" w:hAnsi="宋体" w:eastAsia="宋体"/>
                <w:color w:val="000000"/>
                <w:sz w:val="24"/>
              </w:rPr>
              <w:t>024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ascii="宋体" w:hAnsi="宋体" w:eastAsia="宋体"/>
                <w:color w:val="000000"/>
                <w:sz w:val="24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月</w:t>
            </w:r>
            <w:r>
              <w:rPr>
                <w:rFonts w:ascii="宋体" w:hAnsi="宋体" w:eastAsia="宋体"/>
                <w:color w:val="000000"/>
                <w:sz w:val="24"/>
              </w:rPr>
              <w:t>16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地点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公司会议室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上市公司接待人员姓名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董事会秘书周菡语、证券事务代表周能传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投资者关系活动主要内容介绍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1</w:t>
            </w:r>
            <w:r>
              <w:rPr>
                <w:rFonts w:ascii="宋体" w:hAnsi="宋体" w:eastAsia="宋体"/>
                <w:b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</w:rPr>
              <w:t>目前PBO单体的量价情况？主要应用领域？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答：目前公司</w:t>
            </w:r>
            <w:r>
              <w:rPr>
                <w:rFonts w:ascii="宋体" w:hAnsi="宋体" w:eastAsia="宋体"/>
                <w:szCs w:val="21"/>
              </w:rPr>
              <w:t>PBO单体价格</w:t>
            </w:r>
            <w:r>
              <w:rPr>
                <w:rFonts w:ascii="宋体" w:hAnsi="宋体" w:eastAsia="宋体"/>
                <w:szCs w:val="21"/>
                <w:woUserID w:val="1"/>
              </w:rPr>
              <w:t>和</w:t>
            </w:r>
            <w:r>
              <w:rPr>
                <w:rFonts w:ascii="宋体" w:hAnsi="宋体" w:eastAsia="宋体"/>
                <w:szCs w:val="21"/>
              </w:rPr>
              <w:t>产</w:t>
            </w:r>
            <w:r>
              <w:rPr>
                <w:rFonts w:hint="eastAsia" w:ascii="宋体" w:hAnsi="宋体" w:eastAsia="宋体"/>
                <w:szCs w:val="21"/>
              </w:rPr>
              <w:t>销量比较稳定</w:t>
            </w:r>
            <w:r>
              <w:rPr>
                <w:rFonts w:ascii="宋体" w:hAnsi="宋体" w:eastAsia="宋体"/>
                <w:szCs w:val="21"/>
              </w:rPr>
              <w:t>，没有较大波动。</w:t>
            </w:r>
            <w:r>
              <w:rPr>
                <w:rFonts w:hint="eastAsia" w:ascii="宋体" w:hAnsi="宋体" w:eastAsia="宋体"/>
                <w:szCs w:val="21"/>
              </w:rPr>
              <w:t>P</w:t>
            </w:r>
            <w:r>
              <w:rPr>
                <w:rFonts w:ascii="宋体" w:hAnsi="宋体" w:eastAsia="宋体"/>
                <w:szCs w:val="21"/>
              </w:rPr>
              <w:t>BO</w:t>
            </w:r>
            <w:r>
              <w:rPr>
                <w:rFonts w:hint="eastAsia" w:ascii="宋体" w:hAnsi="宋体" w:eastAsia="宋体"/>
                <w:szCs w:val="21"/>
              </w:rPr>
              <w:t>纤维的应用还是围绕其突出的性能优势展开，以及价格、技术等原因，主要用在高精尖领域，具体还是看下游客户和终端的协同拓展，公司做好上游单体保障。新材料的实际应用验证周期较长，公司会持续培育。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2</w:t>
            </w:r>
            <w:r>
              <w:rPr>
                <w:rFonts w:ascii="宋体" w:hAnsi="宋体" w:eastAsia="宋体"/>
                <w:b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</w:rPr>
              <w:t>P</w:t>
            </w:r>
            <w:r>
              <w:rPr>
                <w:rFonts w:ascii="宋体" w:hAnsi="宋体" w:eastAsia="宋体"/>
                <w:b/>
                <w:szCs w:val="21"/>
              </w:rPr>
              <w:t>I</w:t>
            </w:r>
            <w:r>
              <w:rPr>
                <w:rFonts w:hint="eastAsia" w:ascii="宋体" w:hAnsi="宋体" w:eastAsia="宋体"/>
                <w:b/>
                <w:szCs w:val="21"/>
              </w:rPr>
              <w:t>单体的情况？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答：PI单体也是公司重点布局的品类之一，除了之前从应用方向上看比较聚焦的TPI（热塑型聚酰亚胺）单体，也在进行其他细分品种的拓展，进行系列化开发。PI的应用领域也比较广泛，如</w:t>
            </w:r>
            <w:r>
              <w:rPr>
                <w:rFonts w:ascii="宋体" w:hAnsi="宋体" w:eastAsia="宋体"/>
                <w:szCs w:val="21"/>
              </w:rPr>
              <w:t>TPI应用领域</w:t>
            </w:r>
            <w:r>
              <w:rPr>
                <w:rFonts w:hint="eastAsia" w:ascii="宋体" w:hAnsi="宋体" w:eastAsia="宋体"/>
                <w:szCs w:val="21"/>
              </w:rPr>
              <w:t>主要有</w:t>
            </w:r>
            <w:r>
              <w:rPr>
                <w:rFonts w:ascii="宋体" w:hAnsi="宋体" w:eastAsia="宋体"/>
                <w:szCs w:val="21"/>
              </w:rPr>
              <w:t>电机绝缘材料、机械设备密封圈等</w:t>
            </w:r>
            <w:r>
              <w:rPr>
                <w:rFonts w:hint="eastAsia" w:ascii="宋体" w:hAnsi="宋体" w:eastAsia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3</w:t>
            </w:r>
            <w:r>
              <w:rPr>
                <w:rFonts w:ascii="宋体" w:hAnsi="宋体" w:eastAsia="宋体"/>
                <w:b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</w:rPr>
              <w:t>募投项目进展情况？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答：募投项目两个车间的产线5</w:t>
            </w:r>
            <w:r>
              <w:rPr>
                <w:rFonts w:ascii="宋体" w:hAnsi="宋体" w:eastAsia="宋体"/>
                <w:szCs w:val="21"/>
              </w:rPr>
              <w:t>55</w:t>
            </w:r>
            <w:r>
              <w:rPr>
                <w:rFonts w:hint="eastAsia" w:ascii="宋体" w:hAnsi="宋体" w:eastAsia="宋体"/>
                <w:szCs w:val="21"/>
              </w:rPr>
              <w:t>吨产能第二季度末已开始试产，还有一个车间预计年底或明年初试产，但总体调试、爬坡到验收需要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一年左右</w:t>
            </w:r>
            <w:r>
              <w:rPr>
                <w:rFonts w:hint="eastAsia" w:ascii="宋体" w:hAnsi="宋体" w:eastAsia="宋体"/>
                <w:szCs w:val="21"/>
              </w:rPr>
              <w:t>，预计明年能正式释放产能，将根据市场情况和客户订单进行排产。产线产品包含了染发剂原料和特种工程材料单体。</w:t>
            </w:r>
            <w:r>
              <w:rPr>
                <w:rFonts w:ascii="宋体" w:hAnsi="宋体" w:eastAsia="宋体"/>
                <w:szCs w:val="21"/>
              </w:rPr>
              <w:t>公司</w:t>
            </w:r>
            <w:r>
              <w:rPr>
                <w:rFonts w:hint="eastAsia" w:ascii="宋体" w:hAnsi="宋体" w:eastAsia="宋体"/>
                <w:szCs w:val="21"/>
              </w:rPr>
              <w:t>将</w:t>
            </w:r>
            <w:r>
              <w:rPr>
                <w:rFonts w:ascii="宋体" w:hAnsi="宋体" w:eastAsia="宋体"/>
                <w:szCs w:val="21"/>
              </w:rPr>
              <w:t>按企业会计准则对达到预定可使用状态的在建工程及时进行转固</w:t>
            </w:r>
            <w:r>
              <w:rPr>
                <w:rFonts w:hint="eastAsia" w:ascii="宋体" w:hAnsi="宋体" w:eastAsia="宋体"/>
                <w:szCs w:val="21"/>
              </w:rPr>
              <w:t>并计提折旧。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4</w:t>
            </w:r>
            <w:r>
              <w:rPr>
                <w:rFonts w:ascii="宋体" w:hAnsi="宋体" w:eastAsia="宋体"/>
                <w:b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</w:rPr>
              <w:t>内蒙项目情况？</w:t>
            </w:r>
          </w:p>
          <w:p>
            <w:pPr>
              <w:spacing w:line="360" w:lineRule="auto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答：内蒙项目进程根据具体情况有所调整，在品种上与现有和募投有所差异，主要定位</w:t>
            </w:r>
            <w:r>
              <w:rPr>
                <w:rFonts w:ascii="宋体" w:hAnsi="宋体" w:eastAsia="宋体"/>
                <w:bCs/>
                <w:szCs w:val="21"/>
              </w:rPr>
              <w:t>产</w:t>
            </w:r>
            <w:r>
              <w:rPr>
                <w:rFonts w:hint="eastAsia" w:ascii="宋体" w:hAnsi="宋体" w:eastAsia="宋体"/>
                <w:bCs/>
                <w:szCs w:val="21"/>
              </w:rPr>
              <w:t>量比较大、上游原料配套相关产品。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bCs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szCs w:val="21"/>
              </w:rPr>
              <w:t>5</w:t>
            </w:r>
            <w:r>
              <w:rPr>
                <w:rFonts w:ascii="宋体" w:hAnsi="宋体" w:eastAsia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Q</w:t>
            </w:r>
            <w:r>
              <w:rPr>
                <w:rFonts w:ascii="宋体" w:hAnsi="宋体" w:eastAsia="宋体"/>
                <w:b/>
                <w:bCs/>
                <w:szCs w:val="21"/>
              </w:rPr>
              <w:t>2</w:t>
            </w:r>
            <w:r>
              <w:rPr>
                <w:rFonts w:hint="eastAsia" w:ascii="宋体" w:hAnsi="宋体" w:eastAsia="宋体"/>
                <w:b/>
                <w:bCs/>
                <w:szCs w:val="21"/>
              </w:rPr>
              <w:t>收入下滑的主要原因？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答：主要还是原材料整体有所下降，公司产品相应下调，同时产品结构和出货节奏，以及全球大环境也都有一定影响。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6</w:t>
            </w:r>
            <w:r>
              <w:rPr>
                <w:rFonts w:ascii="宋体" w:hAnsi="宋体" w:eastAsia="宋体"/>
                <w:b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</w:rPr>
              <w:t>客户去库存情况？</w:t>
            </w:r>
            <w:r>
              <w:rPr>
                <w:rFonts w:ascii="宋体" w:hAnsi="宋体" w:eastAsia="宋体"/>
                <w:b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</w:t>
            </w:r>
            <w:r>
              <w:rPr>
                <w:rFonts w:ascii="宋体" w:hAnsi="宋体" w:eastAsia="宋体"/>
                <w:szCs w:val="21"/>
              </w:rPr>
              <w:t>去年上半年</w:t>
            </w:r>
            <w:r>
              <w:rPr>
                <w:rFonts w:hint="eastAsia" w:ascii="宋体" w:hAnsi="宋体" w:eastAsia="宋体"/>
                <w:szCs w:val="21"/>
              </w:rPr>
              <w:t>因</w:t>
            </w:r>
            <w:r>
              <w:rPr>
                <w:rFonts w:ascii="宋体" w:hAnsi="宋体" w:eastAsia="宋体"/>
                <w:szCs w:val="21"/>
              </w:rPr>
              <w:t>刚从疫情中</w:t>
            </w:r>
            <w:r>
              <w:rPr>
                <w:rFonts w:hint="eastAsia" w:ascii="宋体" w:hAnsi="宋体" w:eastAsia="宋体"/>
                <w:szCs w:val="21"/>
              </w:rPr>
              <w:t>走出</w:t>
            </w:r>
            <w:r>
              <w:rPr>
                <w:rFonts w:ascii="宋体" w:hAnsi="宋体" w:eastAsia="宋体"/>
                <w:szCs w:val="21"/>
              </w:rPr>
              <w:t>，</w:t>
            </w:r>
            <w:r>
              <w:rPr>
                <w:rFonts w:hint="eastAsia" w:ascii="宋体" w:hAnsi="宋体" w:eastAsia="宋体"/>
                <w:szCs w:val="21"/>
              </w:rPr>
              <w:t>又叠加地缘、国际局势等因素，大客户对于稳定的供应链信心不足，为保证安全库存进行了一些囤货。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预计</w:t>
            </w:r>
            <w:r>
              <w:rPr>
                <w:rFonts w:hint="eastAsia" w:ascii="宋体" w:hAnsi="宋体" w:eastAsia="宋体"/>
                <w:szCs w:val="21"/>
              </w:rPr>
              <w:t>今年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年底明年年初</w:t>
            </w:r>
            <w:r>
              <w:rPr>
                <w:rFonts w:ascii="宋体" w:hAnsi="宋体" w:eastAsia="宋体"/>
                <w:szCs w:val="21"/>
              </w:rPr>
              <w:t>逐渐从这个周期中走出，</w:t>
            </w:r>
            <w:r>
              <w:rPr>
                <w:rFonts w:hint="eastAsia" w:ascii="宋体" w:hAnsi="宋体" w:eastAsia="宋体"/>
                <w:szCs w:val="21"/>
              </w:rPr>
              <w:t>处于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去库存</w:t>
            </w:r>
            <w:r>
              <w:rPr>
                <w:rFonts w:hint="eastAsia" w:ascii="宋体" w:hAnsi="宋体" w:eastAsia="宋体"/>
                <w:szCs w:val="21"/>
              </w:rPr>
              <w:t>尾声</w:t>
            </w:r>
            <w:r>
              <w:rPr>
                <w:rFonts w:ascii="宋体" w:hAnsi="宋体" w:eastAsia="宋体"/>
                <w:szCs w:val="21"/>
              </w:rPr>
              <w:t>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  <w:r>
              <w:rPr>
                <w:rFonts w:ascii="宋体" w:hAnsi="宋体" w:eastAsia="宋体"/>
                <w:b/>
                <w:szCs w:val="21"/>
              </w:rPr>
              <w:t>7.</w:t>
            </w:r>
            <w:r>
              <w:rPr>
                <w:rFonts w:hint="eastAsia" w:ascii="宋体" w:hAnsi="宋体" w:eastAsia="宋体"/>
                <w:b/>
                <w:szCs w:val="21"/>
              </w:rPr>
              <w:t>原材料受油价影响大吗？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答：传导不是很明显，公司所需原料品种较多，精细化学品在产业链上离石油还较远，更多受原材料的市场供需关系影响。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8</w:t>
            </w:r>
            <w:r>
              <w:rPr>
                <w:rFonts w:ascii="宋体" w:hAnsi="宋体" w:eastAsia="宋体"/>
                <w:b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</w:rPr>
              <w:t>染发剂原料业务增长？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答：公司产品种类较多，价格区间较宽，受市场情况等影响较大，增速比较难预测。从</w:t>
            </w:r>
            <w:r>
              <w:rPr>
                <w:rFonts w:hint="default" w:ascii="宋体" w:hAnsi="宋体" w:eastAsia="宋体"/>
                <w:szCs w:val="21"/>
                <w:woUserID w:val="1"/>
              </w:rPr>
              <w:t>市场调研报告来看，染发剂行业整体增速在7-8%</w:t>
            </w:r>
            <w:r>
              <w:rPr>
                <w:rFonts w:ascii="宋体" w:hAnsi="宋体" w:eastAsia="宋体"/>
                <w:szCs w:val="21"/>
              </w:rPr>
              <w:t>。</w:t>
            </w:r>
            <w:r>
              <w:rPr>
                <w:rFonts w:ascii="宋体" w:hAnsi="宋体" w:eastAsia="宋体"/>
                <w:szCs w:val="21"/>
                <w:woUserID w:val="1"/>
              </w:rPr>
              <w:t>我司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Cs w:val="21"/>
              </w:rPr>
              <w:t>未来增长主要还是依赖品种扩充和迭代升级。</w:t>
            </w:r>
          </w:p>
          <w:p>
            <w:pPr>
              <w:spacing w:line="360" w:lineRule="auto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9</w:t>
            </w:r>
            <w:r>
              <w:rPr>
                <w:rFonts w:ascii="宋体" w:hAnsi="宋体" w:eastAsia="宋体"/>
                <w:b/>
                <w:szCs w:val="21"/>
              </w:rPr>
              <w:t>.</w:t>
            </w:r>
            <w:r>
              <w:rPr>
                <w:rFonts w:hint="eastAsia" w:ascii="宋体" w:hAnsi="宋体" w:eastAsia="宋体"/>
                <w:b/>
                <w:szCs w:val="21"/>
              </w:rPr>
              <w:t>研发团队背景？</w:t>
            </w:r>
          </w:p>
          <w:p>
            <w:pPr>
              <w:spacing w:line="360" w:lineRule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：公司创始团队是技术出身，故公司对研发团队的建设一直都十分重视，核心人员加入公司多年，团队也在持续扩充，目前主要是通过校招、社招引进研发人才，大多是化学工程背景，跟院校、客户也会进行研发合作。</w:t>
            </w:r>
          </w:p>
          <w:p>
            <w:pPr>
              <w:spacing w:line="360" w:lineRule="auto"/>
              <w:rPr>
                <w:rFonts w:ascii="宋体" w:hAnsi="宋体" w:eastAsia="宋体"/>
                <w:b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附件清单（如有）</w:t>
            </w:r>
          </w:p>
        </w:tc>
        <w:tc>
          <w:tcPr>
            <w:tcW w:w="6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宋体" w:hAnsi="宋体" w:eastAsia="宋体"/>
                <w:sz w:val="24"/>
              </w:rPr>
            </w:pPr>
          </w:p>
        </w:tc>
      </w:tr>
    </w:tbl>
    <w:p>
      <w:pPr>
        <w:rPr>
          <w:rFonts w:ascii="宋体" w:hAnsi="宋体" w:eastAsia="宋体"/>
        </w:rPr>
      </w:pPr>
    </w:p>
    <w:sectPr>
      <w:pgSz w:w="11905" w:h="16837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D42"/>
    <w:rsid w:val="00001E89"/>
    <w:rsid w:val="00012DDB"/>
    <w:rsid w:val="00024917"/>
    <w:rsid w:val="0003057A"/>
    <w:rsid w:val="000658BB"/>
    <w:rsid w:val="00067C0F"/>
    <w:rsid w:val="00071B87"/>
    <w:rsid w:val="000862C2"/>
    <w:rsid w:val="000A51CD"/>
    <w:rsid w:val="000B22BB"/>
    <w:rsid w:val="000B4754"/>
    <w:rsid w:val="000B4F92"/>
    <w:rsid w:val="000D2FFF"/>
    <w:rsid w:val="000D4720"/>
    <w:rsid w:val="000D69D6"/>
    <w:rsid w:val="0010055C"/>
    <w:rsid w:val="00117514"/>
    <w:rsid w:val="00170DFB"/>
    <w:rsid w:val="00186E8B"/>
    <w:rsid w:val="00197FCC"/>
    <w:rsid w:val="001C22E0"/>
    <w:rsid w:val="001C2AC8"/>
    <w:rsid w:val="001D3A4A"/>
    <w:rsid w:val="0020419A"/>
    <w:rsid w:val="00226914"/>
    <w:rsid w:val="002345F9"/>
    <w:rsid w:val="002368E8"/>
    <w:rsid w:val="00280A39"/>
    <w:rsid w:val="00282153"/>
    <w:rsid w:val="00283A5E"/>
    <w:rsid w:val="002917C7"/>
    <w:rsid w:val="002E69B2"/>
    <w:rsid w:val="002F4A13"/>
    <w:rsid w:val="00351E2F"/>
    <w:rsid w:val="00351FA7"/>
    <w:rsid w:val="00362585"/>
    <w:rsid w:val="003709B3"/>
    <w:rsid w:val="00396CCE"/>
    <w:rsid w:val="003A4163"/>
    <w:rsid w:val="003A7AF2"/>
    <w:rsid w:val="003B5CF1"/>
    <w:rsid w:val="003C7BD2"/>
    <w:rsid w:val="0042317A"/>
    <w:rsid w:val="00427965"/>
    <w:rsid w:val="00471152"/>
    <w:rsid w:val="004D1C8D"/>
    <w:rsid w:val="004F2224"/>
    <w:rsid w:val="005200FB"/>
    <w:rsid w:val="00547A5A"/>
    <w:rsid w:val="00554AF0"/>
    <w:rsid w:val="0058063D"/>
    <w:rsid w:val="005851C3"/>
    <w:rsid w:val="005A2874"/>
    <w:rsid w:val="005C3896"/>
    <w:rsid w:val="005D5D42"/>
    <w:rsid w:val="005E4742"/>
    <w:rsid w:val="006338BF"/>
    <w:rsid w:val="00637C07"/>
    <w:rsid w:val="00676382"/>
    <w:rsid w:val="006844A1"/>
    <w:rsid w:val="00685609"/>
    <w:rsid w:val="006A6758"/>
    <w:rsid w:val="006F47DD"/>
    <w:rsid w:val="007145A2"/>
    <w:rsid w:val="00717F04"/>
    <w:rsid w:val="00725570"/>
    <w:rsid w:val="007470C3"/>
    <w:rsid w:val="007536CE"/>
    <w:rsid w:val="00763483"/>
    <w:rsid w:val="007738E2"/>
    <w:rsid w:val="00775EEA"/>
    <w:rsid w:val="007A6A03"/>
    <w:rsid w:val="007B6078"/>
    <w:rsid w:val="007E1B91"/>
    <w:rsid w:val="008017A4"/>
    <w:rsid w:val="0086428E"/>
    <w:rsid w:val="008763B1"/>
    <w:rsid w:val="008C36FC"/>
    <w:rsid w:val="008E36A6"/>
    <w:rsid w:val="009135DE"/>
    <w:rsid w:val="00916C12"/>
    <w:rsid w:val="00935E0D"/>
    <w:rsid w:val="00993A7C"/>
    <w:rsid w:val="0099432C"/>
    <w:rsid w:val="00996F52"/>
    <w:rsid w:val="009B0976"/>
    <w:rsid w:val="009D78B0"/>
    <w:rsid w:val="00A2151D"/>
    <w:rsid w:val="00A62215"/>
    <w:rsid w:val="00A6323F"/>
    <w:rsid w:val="00A917B7"/>
    <w:rsid w:val="00A91A1A"/>
    <w:rsid w:val="00A93237"/>
    <w:rsid w:val="00AC5C62"/>
    <w:rsid w:val="00AD7D78"/>
    <w:rsid w:val="00AE11D7"/>
    <w:rsid w:val="00B14FA5"/>
    <w:rsid w:val="00B26E04"/>
    <w:rsid w:val="00B40263"/>
    <w:rsid w:val="00B45716"/>
    <w:rsid w:val="00B55F96"/>
    <w:rsid w:val="00B677DA"/>
    <w:rsid w:val="00B84136"/>
    <w:rsid w:val="00B91893"/>
    <w:rsid w:val="00BC7EA6"/>
    <w:rsid w:val="00BE3C48"/>
    <w:rsid w:val="00BE3EA5"/>
    <w:rsid w:val="00BF3556"/>
    <w:rsid w:val="00BF389B"/>
    <w:rsid w:val="00C23691"/>
    <w:rsid w:val="00C40921"/>
    <w:rsid w:val="00C66694"/>
    <w:rsid w:val="00C75E9C"/>
    <w:rsid w:val="00CE4306"/>
    <w:rsid w:val="00D0264D"/>
    <w:rsid w:val="00D47696"/>
    <w:rsid w:val="00D524A4"/>
    <w:rsid w:val="00D537CE"/>
    <w:rsid w:val="00D60FDB"/>
    <w:rsid w:val="00D74C2A"/>
    <w:rsid w:val="00DA345A"/>
    <w:rsid w:val="00DA4F4A"/>
    <w:rsid w:val="00DC47BE"/>
    <w:rsid w:val="00DC627F"/>
    <w:rsid w:val="00DE21C8"/>
    <w:rsid w:val="00E10EE3"/>
    <w:rsid w:val="00E27DD9"/>
    <w:rsid w:val="00E368A4"/>
    <w:rsid w:val="00E65272"/>
    <w:rsid w:val="00E93357"/>
    <w:rsid w:val="00E94DFD"/>
    <w:rsid w:val="00EB7128"/>
    <w:rsid w:val="00ED7639"/>
    <w:rsid w:val="00F2242B"/>
    <w:rsid w:val="00F568BB"/>
    <w:rsid w:val="00F7344C"/>
    <w:rsid w:val="00F804B2"/>
    <w:rsid w:val="00F86713"/>
    <w:rsid w:val="00F9742E"/>
    <w:rsid w:val="00F97567"/>
    <w:rsid w:val="00FA2C79"/>
    <w:rsid w:val="00FD1C26"/>
    <w:rsid w:val="00FD651C"/>
    <w:rsid w:val="00FE6894"/>
    <w:rsid w:val="00FF27DA"/>
    <w:rsid w:val="1E5F37B7"/>
    <w:rsid w:val="3BAF3706"/>
    <w:rsid w:val="8B6E9B8E"/>
    <w:rsid w:val="8EAECAA3"/>
    <w:rsid w:val="DFFF6F3E"/>
    <w:rsid w:val="FDC8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8" w:after="210"/>
      <w:outlineLvl w:val="0"/>
    </w:pPr>
    <w:rPr>
      <w:rFonts w:asciiTheme="minorHAnsi" w:hAnsiTheme="minorHAnsi" w:eastAsiaTheme="minorEastAsia" w:cstheme="minorBidi"/>
      <w:b/>
      <w:kern w:val="2"/>
      <w:sz w:val="3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Balloon Text"/>
    <w:basedOn w:val="1"/>
    <w:uiPriority w:val="0"/>
    <w:rPr>
      <w:sz w:val="18"/>
    </w:rPr>
  </w:style>
  <w:style w:type="paragraph" w:styleId="5">
    <w:name w:val="footer"/>
    <w:basedOn w:val="1"/>
    <w:uiPriority w:val="0"/>
    <w:rPr>
      <w:sz w:val="18"/>
    </w:rPr>
  </w:style>
  <w:style w:type="paragraph" w:styleId="6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7">
    <w:name w:val="Normal (Web)"/>
    <w:basedOn w:val="1"/>
    <w:uiPriority w:val="0"/>
    <w:pPr>
      <w:widowControl/>
      <w:spacing w:before="100" w:after="100"/>
    </w:pPr>
    <w:rPr>
      <w:rFonts w:ascii="宋体" w:hAnsi="宋体" w:cs="宋体"/>
      <w:kern w:val="0"/>
      <w:sz w:val="24"/>
    </w:rPr>
  </w:style>
  <w:style w:type="table" w:styleId="9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纯文本 字符"/>
    <w:basedOn w:val="10"/>
    <w:uiPriority w:val="0"/>
    <w:rPr>
      <w:rFonts w:ascii="宋体" w:hAnsi="Courier New"/>
    </w:rPr>
  </w:style>
  <w:style w:type="character" w:customStyle="1" w:styleId="12">
    <w:name w:val="批注框文本 字符"/>
    <w:basedOn w:val="10"/>
    <w:uiPriority w:val="0"/>
    <w:rPr>
      <w:kern w:val="2"/>
      <w:sz w:val="18"/>
    </w:rPr>
  </w:style>
  <w:style w:type="character" w:customStyle="1" w:styleId="13">
    <w:name w:val="页脚 字符"/>
    <w:basedOn w:val="10"/>
    <w:uiPriority w:val="0"/>
    <w:rPr>
      <w:sz w:val="18"/>
    </w:rPr>
  </w:style>
  <w:style w:type="character" w:customStyle="1" w:styleId="14">
    <w:name w:val="页眉 字符"/>
    <w:basedOn w:val="10"/>
    <w:uiPriority w:val="0"/>
    <w:rPr>
      <w:sz w:val="18"/>
    </w:rPr>
  </w:style>
  <w:style w:type="paragraph" w:styleId="15">
    <w:name w:val="List Paragraph"/>
    <w:basedOn w:val="1"/>
    <w:uiPriority w:val="0"/>
    <w:pPr>
      <w:ind w:firstLine="420" w:firstLineChars="200"/>
    </w:pPr>
  </w:style>
  <w:style w:type="character" w:customStyle="1" w:styleId="16">
    <w:name w:val="hightlight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206</Words>
  <Characters>1175</Characters>
  <Lines>9</Lines>
  <Paragraphs>2</Paragraphs>
  <TotalTime>314</TotalTime>
  <ScaleCrop>false</ScaleCrop>
  <LinksUpToDate>false</LinksUpToDate>
  <CharactersWithSpaces>1379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2024-09-07T09:41:00Z</dcterms:created>
  <dc:creator>DingTalk</dc:creator>
  <dc:description>DingTalk Document</dc:description>
  <cp:lastModifiedBy>z</cp:lastModifiedBy>
  <dcterms:modified xsi:type="dcterms:W3CDTF">2024-10-16T17:09:43Z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