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AFE5A">
      <w:pPr>
        <w:spacing w:line="360" w:lineRule="auto"/>
        <w:rPr>
          <w:rFonts w:ascii="楷体" w:hAnsi="楷体" w:eastAsia="楷体"/>
          <w:b/>
          <w:sz w:val="24"/>
        </w:rPr>
      </w:pPr>
      <w:r>
        <w:rPr>
          <w:rFonts w:hint="eastAsia" w:ascii="楷体" w:hAnsi="楷体" w:eastAsia="楷体"/>
          <w:b/>
          <w:sz w:val="24"/>
        </w:rPr>
        <w:t>证券简称：金钼股份                                  证券代码：6</w:t>
      </w:r>
      <w:r>
        <w:rPr>
          <w:rFonts w:ascii="楷体" w:hAnsi="楷体" w:eastAsia="楷体"/>
          <w:b/>
          <w:sz w:val="24"/>
        </w:rPr>
        <w:t>0</w:t>
      </w:r>
      <w:r>
        <w:rPr>
          <w:rFonts w:hint="eastAsia" w:ascii="楷体" w:hAnsi="楷体" w:eastAsia="楷体"/>
          <w:b/>
          <w:sz w:val="24"/>
        </w:rPr>
        <w:t>1958</w:t>
      </w:r>
    </w:p>
    <w:p w14:paraId="3E19172E">
      <w:pPr>
        <w:spacing w:line="360" w:lineRule="auto"/>
        <w:rPr>
          <w:rFonts w:ascii="宋体" w:hAnsi="宋体"/>
          <w:sz w:val="24"/>
        </w:rPr>
      </w:pPr>
    </w:p>
    <w:p w14:paraId="43795BE5">
      <w:pPr>
        <w:adjustRightInd w:val="0"/>
        <w:snapToGrid w:val="0"/>
        <w:jc w:val="center"/>
        <w:rPr>
          <w:rFonts w:ascii="宋体" w:hAnsi="宋体"/>
          <w:b/>
          <w:sz w:val="36"/>
          <w:szCs w:val="36"/>
        </w:rPr>
      </w:pPr>
      <w:r>
        <w:rPr>
          <w:rFonts w:hint="eastAsia" w:ascii="宋体" w:hAnsi="宋体"/>
          <w:b/>
          <w:sz w:val="36"/>
          <w:szCs w:val="36"/>
        </w:rPr>
        <w:t>金堆城钼业股份有限公司</w:t>
      </w:r>
    </w:p>
    <w:p w14:paraId="58953DD2">
      <w:pPr>
        <w:adjustRightInd w:val="0"/>
        <w:snapToGrid w:val="0"/>
        <w:jc w:val="center"/>
        <w:rPr>
          <w:rFonts w:ascii="宋体" w:hAnsi="宋体"/>
          <w:b/>
          <w:sz w:val="36"/>
          <w:szCs w:val="36"/>
        </w:rPr>
      </w:pPr>
      <w:r>
        <w:rPr>
          <w:rFonts w:hint="eastAsia" w:ascii="宋体" w:hAnsi="宋体"/>
          <w:b/>
          <w:sz w:val="36"/>
          <w:szCs w:val="36"/>
        </w:rPr>
        <w:t>投资者关系活动记录表</w:t>
      </w:r>
    </w:p>
    <w:tbl>
      <w:tblPr>
        <w:tblStyle w:val="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312"/>
      </w:tblGrid>
      <w:tr w14:paraId="3DC0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07223DF8">
            <w:pPr>
              <w:spacing w:line="360" w:lineRule="auto"/>
              <w:jc w:val="center"/>
              <w:rPr>
                <w:rFonts w:ascii="宋体" w:hAnsi="宋体"/>
                <w:b/>
                <w:sz w:val="24"/>
              </w:rPr>
            </w:pPr>
            <w:r>
              <w:rPr>
                <w:rFonts w:hint="eastAsia" w:ascii="宋体" w:hAnsi="宋体"/>
                <w:b/>
                <w:sz w:val="24"/>
              </w:rPr>
              <w:t>投资者关系</w:t>
            </w:r>
          </w:p>
          <w:p w14:paraId="01044F28">
            <w:pPr>
              <w:spacing w:line="360" w:lineRule="auto"/>
              <w:jc w:val="center"/>
              <w:rPr>
                <w:rFonts w:ascii="宋体" w:hAnsi="宋体"/>
                <w:b/>
                <w:sz w:val="24"/>
              </w:rPr>
            </w:pPr>
            <w:r>
              <w:rPr>
                <w:rFonts w:hint="eastAsia" w:ascii="宋体" w:hAnsi="宋体"/>
                <w:b/>
                <w:sz w:val="24"/>
              </w:rPr>
              <w:t>活动类别</w:t>
            </w:r>
          </w:p>
        </w:tc>
        <w:tc>
          <w:tcPr>
            <w:tcW w:w="7312" w:type="dxa"/>
          </w:tcPr>
          <w:p w14:paraId="750B6EE4">
            <w:pPr>
              <w:spacing w:line="360" w:lineRule="auto"/>
              <w:rPr>
                <w:rFonts w:ascii="宋体" w:hAnsi="宋体"/>
                <w:sz w:val="24"/>
              </w:rPr>
            </w:pPr>
            <w:r>
              <w:rPr>
                <w:rFonts w:ascii="宋体" w:hAnsi="宋体"/>
                <w:sz w:val="24"/>
              </w:rPr>
              <w:sym w:font="Wingdings 2" w:char="00A3"/>
            </w:r>
            <w:r>
              <w:rPr>
                <w:rFonts w:hint="eastAsia" w:ascii="宋体" w:hAnsi="宋体"/>
                <w:sz w:val="24"/>
              </w:rPr>
              <w:t xml:space="preserve">特定对象调研   </w:t>
            </w:r>
            <w:r>
              <w:rPr>
                <w:rFonts w:ascii="宋体" w:hAnsi="宋体"/>
                <w:sz w:val="24"/>
              </w:rPr>
              <w:sym w:font="Wingdings 2" w:char="F0A3"/>
            </w:r>
            <w:r>
              <w:rPr>
                <w:rFonts w:hint="eastAsia" w:ascii="宋体" w:hAnsi="宋体"/>
                <w:sz w:val="24"/>
              </w:rPr>
              <w:t xml:space="preserve">分析师会议   </w:t>
            </w:r>
            <w:r>
              <w:rPr>
                <w:rFonts w:ascii="宋体" w:hAnsi="宋体"/>
                <w:sz w:val="24"/>
              </w:rPr>
              <w:sym w:font="Wingdings 2" w:char="F0A3"/>
            </w:r>
            <w:r>
              <w:rPr>
                <w:rFonts w:hint="eastAsia" w:ascii="宋体" w:hAnsi="宋体"/>
                <w:sz w:val="24"/>
              </w:rPr>
              <w:t>媒体采访</w:t>
            </w:r>
          </w:p>
          <w:p w14:paraId="1876DCB9">
            <w:pPr>
              <w:spacing w:line="360" w:lineRule="auto"/>
              <w:rPr>
                <w:rFonts w:ascii="宋体" w:hAnsi="宋体"/>
                <w:sz w:val="24"/>
              </w:rPr>
            </w:pPr>
            <w:r>
              <w:rPr>
                <w:rFonts w:ascii="宋体" w:hAnsi="宋体"/>
                <w:sz w:val="24"/>
              </w:rPr>
              <w:sym w:font="Wingdings 2" w:char="00A3"/>
            </w:r>
            <w:r>
              <w:rPr>
                <w:rFonts w:hint="eastAsia" w:ascii="宋体" w:hAnsi="宋体"/>
                <w:sz w:val="24"/>
              </w:rPr>
              <w:t xml:space="preserve">业绩说明会     </w:t>
            </w:r>
            <w:r>
              <w:rPr>
                <w:rFonts w:ascii="宋体" w:hAnsi="宋体"/>
                <w:sz w:val="24"/>
              </w:rPr>
              <w:sym w:font="Wingdings 2" w:char="F0A3"/>
            </w:r>
            <w:r>
              <w:rPr>
                <w:rFonts w:hint="eastAsia" w:ascii="宋体" w:hAnsi="宋体"/>
                <w:sz w:val="24"/>
              </w:rPr>
              <w:t>新闻发布会</w:t>
            </w:r>
          </w:p>
          <w:p w14:paraId="5EC2BF36">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路演活动       </w:t>
            </w:r>
            <w:r>
              <w:rPr>
                <w:rFonts w:ascii="宋体" w:hAnsi="宋体"/>
                <w:sz w:val="24"/>
              </w:rPr>
              <w:sym w:font="Wingdings 2" w:char="0052"/>
            </w:r>
            <w:r>
              <w:rPr>
                <w:rFonts w:hint="eastAsia" w:ascii="宋体" w:hAnsi="宋体"/>
                <w:sz w:val="24"/>
              </w:rPr>
              <w:t xml:space="preserve">现场参观     </w:t>
            </w:r>
            <w:r>
              <w:rPr>
                <w:rFonts w:ascii="宋体" w:hAnsi="宋体"/>
                <w:sz w:val="24"/>
              </w:rPr>
              <w:sym w:font="Wingdings 2" w:char="F0A3"/>
            </w:r>
            <w:r>
              <w:rPr>
                <w:rFonts w:hint="eastAsia" w:ascii="宋体" w:hAnsi="宋体"/>
                <w:sz w:val="24"/>
              </w:rPr>
              <w:t>其他</w:t>
            </w:r>
          </w:p>
        </w:tc>
      </w:tr>
      <w:tr w14:paraId="4C86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4523FC0">
            <w:pPr>
              <w:spacing w:line="360" w:lineRule="auto"/>
              <w:jc w:val="center"/>
              <w:rPr>
                <w:rFonts w:ascii="宋体" w:hAnsi="宋体"/>
                <w:b/>
                <w:sz w:val="24"/>
              </w:rPr>
            </w:pPr>
            <w:r>
              <w:rPr>
                <w:rFonts w:hint="eastAsia" w:ascii="宋体" w:hAnsi="宋体"/>
                <w:b/>
                <w:sz w:val="24"/>
              </w:rPr>
              <w:t>形   式</w:t>
            </w:r>
          </w:p>
        </w:tc>
        <w:tc>
          <w:tcPr>
            <w:tcW w:w="7312" w:type="dxa"/>
          </w:tcPr>
          <w:p w14:paraId="31FD3F69">
            <w:pPr>
              <w:spacing w:line="360" w:lineRule="auto"/>
              <w:rPr>
                <w:rFonts w:ascii="宋体" w:hAnsi="宋体"/>
                <w:sz w:val="24"/>
              </w:rPr>
            </w:pPr>
            <w:r>
              <w:rPr>
                <w:rFonts w:ascii="宋体" w:hAnsi="宋体"/>
                <w:sz w:val="24"/>
              </w:rPr>
              <w:sym w:font="Wingdings 2" w:char="0052"/>
            </w:r>
            <w:r>
              <w:rPr>
                <w:rFonts w:hint="eastAsia" w:ascii="宋体" w:hAnsi="宋体"/>
                <w:sz w:val="24"/>
              </w:rPr>
              <w:t xml:space="preserve">现场           </w:t>
            </w:r>
            <w:r>
              <w:rPr>
                <w:rFonts w:ascii="宋体" w:hAnsi="宋体"/>
                <w:sz w:val="24"/>
              </w:rPr>
              <w:sym w:font="Wingdings 2" w:char="00A3"/>
            </w:r>
            <w:r>
              <w:rPr>
                <w:rFonts w:hint="eastAsia" w:ascii="宋体" w:hAnsi="宋体"/>
                <w:sz w:val="24"/>
              </w:rPr>
              <w:t xml:space="preserve">网络         </w:t>
            </w:r>
            <w:r>
              <w:rPr>
                <w:rFonts w:ascii="宋体" w:hAnsi="宋体"/>
                <w:sz w:val="24"/>
              </w:rPr>
              <w:sym w:font="Wingdings 2" w:char="F0A3"/>
            </w:r>
            <w:r>
              <w:rPr>
                <w:rFonts w:hint="eastAsia" w:ascii="宋体" w:hAnsi="宋体"/>
                <w:sz w:val="24"/>
              </w:rPr>
              <w:t>电话会议</w:t>
            </w:r>
          </w:p>
        </w:tc>
      </w:tr>
      <w:tr w14:paraId="6BA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0F2B91E1">
            <w:pPr>
              <w:spacing w:line="360" w:lineRule="auto"/>
              <w:jc w:val="center"/>
              <w:rPr>
                <w:rFonts w:ascii="宋体" w:hAnsi="宋体"/>
                <w:b/>
                <w:sz w:val="24"/>
              </w:rPr>
            </w:pPr>
            <w:r>
              <w:rPr>
                <w:rFonts w:hint="eastAsia" w:ascii="宋体" w:hAnsi="宋体"/>
                <w:b/>
                <w:sz w:val="24"/>
              </w:rPr>
              <w:t>来访单位</w:t>
            </w:r>
          </w:p>
        </w:tc>
        <w:tc>
          <w:tcPr>
            <w:tcW w:w="7312" w:type="dxa"/>
            <w:vAlign w:val="center"/>
          </w:tcPr>
          <w:p w14:paraId="4C711578">
            <w:pPr>
              <w:rPr>
                <w:rFonts w:ascii="宋体" w:hAnsi="宋体" w:cs="宋体"/>
                <w:sz w:val="24"/>
              </w:rPr>
            </w:pPr>
            <w:r>
              <w:rPr>
                <w:rFonts w:hint="eastAsia" w:ascii="宋体" w:hAnsi="宋体" w:cs="宋体"/>
                <w:sz w:val="24"/>
              </w:rPr>
              <w:t>华鑫证券</w:t>
            </w:r>
          </w:p>
        </w:tc>
      </w:tr>
      <w:tr w14:paraId="04AC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B657CCE">
            <w:pPr>
              <w:spacing w:line="360" w:lineRule="auto"/>
              <w:jc w:val="center"/>
              <w:rPr>
                <w:rFonts w:ascii="宋体" w:hAnsi="宋体"/>
                <w:b/>
                <w:sz w:val="24"/>
              </w:rPr>
            </w:pPr>
            <w:r>
              <w:rPr>
                <w:rFonts w:hint="eastAsia" w:ascii="宋体" w:hAnsi="宋体"/>
                <w:b/>
                <w:sz w:val="24"/>
              </w:rPr>
              <w:t>时   间</w:t>
            </w:r>
          </w:p>
        </w:tc>
        <w:tc>
          <w:tcPr>
            <w:tcW w:w="7312" w:type="dxa"/>
            <w:vAlign w:val="center"/>
          </w:tcPr>
          <w:p w14:paraId="15E44107">
            <w:pPr>
              <w:jc w:val="left"/>
              <w:rPr>
                <w:rFonts w:ascii="宋体" w:hAnsi="宋体" w:cs="宋体"/>
                <w:sz w:val="24"/>
              </w:rPr>
            </w:pPr>
            <w:r>
              <w:rPr>
                <w:rStyle w:val="26"/>
                <w:rFonts w:hint="default"/>
              </w:rPr>
              <w:t>2024年</w:t>
            </w:r>
            <w:r>
              <w:rPr>
                <w:rStyle w:val="26"/>
              </w:rPr>
              <w:t>10</w:t>
            </w:r>
            <w:r>
              <w:rPr>
                <w:rStyle w:val="26"/>
                <w:rFonts w:hint="default"/>
              </w:rPr>
              <w:t>月</w:t>
            </w:r>
            <w:r>
              <w:rPr>
                <w:rStyle w:val="26"/>
              </w:rPr>
              <w:t>22</w:t>
            </w:r>
            <w:r>
              <w:rPr>
                <w:rStyle w:val="26"/>
                <w:rFonts w:hint="default"/>
              </w:rPr>
              <w:t xml:space="preserve">日  </w:t>
            </w:r>
          </w:p>
        </w:tc>
      </w:tr>
      <w:tr w14:paraId="0B44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696" w:type="dxa"/>
          </w:tcPr>
          <w:p w14:paraId="1140D933">
            <w:pPr>
              <w:spacing w:line="360" w:lineRule="auto"/>
              <w:jc w:val="center"/>
              <w:rPr>
                <w:rFonts w:ascii="宋体" w:hAnsi="宋体"/>
                <w:b/>
                <w:sz w:val="24"/>
              </w:rPr>
            </w:pPr>
          </w:p>
          <w:p w14:paraId="762FF88F">
            <w:pPr>
              <w:spacing w:line="360" w:lineRule="auto"/>
              <w:jc w:val="center"/>
              <w:rPr>
                <w:rFonts w:ascii="宋体" w:hAnsi="宋体"/>
                <w:b/>
                <w:sz w:val="24"/>
              </w:rPr>
            </w:pPr>
          </w:p>
          <w:p w14:paraId="5EF1B287">
            <w:pPr>
              <w:spacing w:line="360" w:lineRule="auto"/>
              <w:jc w:val="center"/>
              <w:rPr>
                <w:rFonts w:ascii="宋体" w:hAnsi="宋体"/>
                <w:b/>
                <w:sz w:val="24"/>
              </w:rPr>
            </w:pPr>
          </w:p>
          <w:p w14:paraId="5A82586B">
            <w:pPr>
              <w:spacing w:line="360" w:lineRule="auto"/>
              <w:jc w:val="center"/>
              <w:rPr>
                <w:rFonts w:ascii="宋体" w:hAnsi="宋体"/>
                <w:b/>
                <w:sz w:val="24"/>
              </w:rPr>
            </w:pPr>
          </w:p>
          <w:p w14:paraId="25A5AC3B">
            <w:pPr>
              <w:spacing w:line="360" w:lineRule="auto"/>
              <w:jc w:val="center"/>
              <w:rPr>
                <w:rFonts w:ascii="宋体" w:hAnsi="宋体"/>
                <w:b/>
                <w:sz w:val="24"/>
              </w:rPr>
            </w:pPr>
            <w:r>
              <w:rPr>
                <w:rFonts w:hint="eastAsia" w:ascii="宋体" w:hAnsi="宋体"/>
                <w:b/>
                <w:sz w:val="24"/>
              </w:rPr>
              <w:t>交   流</w:t>
            </w:r>
          </w:p>
          <w:p w14:paraId="42F4CD7C">
            <w:pPr>
              <w:spacing w:line="360" w:lineRule="auto"/>
              <w:jc w:val="center"/>
              <w:rPr>
                <w:rFonts w:ascii="宋体" w:hAnsi="宋体"/>
                <w:b/>
                <w:sz w:val="24"/>
              </w:rPr>
            </w:pPr>
            <w:r>
              <w:rPr>
                <w:rFonts w:hint="eastAsia" w:ascii="宋体" w:hAnsi="宋体"/>
                <w:b/>
                <w:sz w:val="24"/>
              </w:rPr>
              <w:t xml:space="preserve">情   况 </w:t>
            </w:r>
          </w:p>
        </w:tc>
        <w:tc>
          <w:tcPr>
            <w:tcW w:w="7312" w:type="dxa"/>
          </w:tcPr>
          <w:p w14:paraId="1DF36C1C">
            <w:pPr>
              <w:rPr>
                <w:rFonts w:ascii="宋体" w:hAnsi="宋体" w:cs="宋体"/>
                <w:kern w:val="0"/>
                <w:sz w:val="24"/>
              </w:rPr>
            </w:pPr>
            <w:r>
              <w:rPr>
                <w:rFonts w:hint="eastAsia" w:ascii="宋体" w:hAnsi="宋体" w:cs="宋体"/>
                <w:kern w:val="0"/>
                <w:sz w:val="24"/>
              </w:rPr>
              <w:t>1.问：请介绍一下公司基本情况？</w:t>
            </w:r>
          </w:p>
          <w:p w14:paraId="3650982D">
            <w:pPr>
              <w:ind w:firstLine="240" w:firstLineChars="100"/>
              <w:jc w:val="left"/>
              <w:rPr>
                <w:rFonts w:ascii="宋体" w:hAnsi="宋体" w:cs="宋体"/>
                <w:kern w:val="0"/>
                <w:sz w:val="24"/>
              </w:rPr>
            </w:pPr>
            <w:r>
              <w:rPr>
                <w:rFonts w:hint="eastAsia" w:ascii="宋体" w:hAnsi="宋体" w:cs="宋体"/>
                <w:kern w:val="0"/>
                <w:sz w:val="24"/>
              </w:rPr>
              <w:t>答：公司是行业领先的钼产品供应商，主要从事钼系列产品的生产、销售、研发及钼相关产品贸易经营业务。公司生产钼炉料、钼化工、钼金属深加工三大系列二十多种品质优良的各类产品，广泛应用于钢铁冶炼、石油化工、机械制造、航空航天、电子照明、生物医药等领域。</w:t>
            </w:r>
            <w:bookmarkStart w:id="0" w:name="_GoBack"/>
            <w:bookmarkEnd w:id="0"/>
          </w:p>
          <w:p w14:paraId="1E40A598">
            <w:pPr>
              <w:ind w:firstLine="240" w:firstLineChars="100"/>
              <w:jc w:val="left"/>
              <w:rPr>
                <w:rFonts w:ascii="宋体" w:hAnsi="宋体" w:cs="宋体"/>
                <w:kern w:val="0"/>
                <w:sz w:val="24"/>
              </w:rPr>
            </w:pPr>
          </w:p>
          <w:p w14:paraId="3FDA810E">
            <w:pPr>
              <w:jc w:val="left"/>
              <w:rPr>
                <w:rFonts w:ascii="宋体" w:hAnsi="宋体" w:cs="宋体"/>
                <w:kern w:val="0"/>
                <w:sz w:val="24"/>
              </w:rPr>
            </w:pPr>
            <w:r>
              <w:rPr>
                <w:rFonts w:hint="eastAsia" w:ascii="宋体" w:hAnsi="宋体" w:cs="宋体"/>
                <w:kern w:val="0"/>
                <w:sz w:val="24"/>
              </w:rPr>
              <w:t>2.问：请介绍一下公司近期更新的业绩情况？</w:t>
            </w:r>
          </w:p>
          <w:p w14:paraId="5E5E7E34">
            <w:pPr>
              <w:autoSpaceDE w:val="0"/>
              <w:autoSpaceDN w:val="0"/>
              <w:adjustRightInd w:val="0"/>
              <w:snapToGrid w:val="0"/>
              <w:ind w:firstLine="240" w:firstLineChars="100"/>
              <w:rPr>
                <w:rFonts w:ascii="宋体" w:hAnsi="宋体" w:cs="宋体"/>
                <w:kern w:val="0"/>
                <w:sz w:val="24"/>
              </w:rPr>
            </w:pPr>
            <w:r>
              <w:rPr>
                <w:rFonts w:hint="eastAsia" w:ascii="宋体" w:hAnsi="宋体" w:cs="宋体"/>
                <w:kern w:val="0"/>
                <w:sz w:val="24"/>
              </w:rPr>
              <w:t>答：公司于2024年10月15日盘后发布2024年前三季度业绩快报公告。报告期内，公司实现营业收入100.97亿元，归属于上市公司股东的净利润21.95亿元。</w:t>
            </w:r>
            <w:r>
              <w:rPr>
                <w:rFonts w:ascii="宋体" w:hAnsi="宋体" w:cs="宋体"/>
                <w:sz w:val="24"/>
              </w:rPr>
              <w:t>各类钼产品价格较上年同期下降，导致公司利润总额、 归属于上市公司股东的净利润、基本每股收益同比下降。公司采取科学 组织生产、优化生产工艺、持续提高产量、全面压降成本、积极开拓新 产品新市场等一揽子举措，以对冲产品价格下行影响，营业收入同比上升。</w:t>
            </w:r>
          </w:p>
          <w:p w14:paraId="20D8A92D">
            <w:pPr>
              <w:jc w:val="left"/>
              <w:rPr>
                <w:rFonts w:ascii="宋体" w:hAnsi="宋体" w:cs="宋体"/>
                <w:kern w:val="0"/>
                <w:sz w:val="24"/>
              </w:rPr>
            </w:pPr>
          </w:p>
          <w:p w14:paraId="1D76C607">
            <w:pPr>
              <w:rPr>
                <w:rFonts w:ascii="宋体" w:hAnsi="宋体" w:cs="宋体"/>
                <w:kern w:val="0"/>
                <w:sz w:val="24"/>
              </w:rPr>
            </w:pPr>
            <w:r>
              <w:rPr>
                <w:rFonts w:hint="eastAsia" w:ascii="宋体" w:hAnsi="宋体" w:cs="宋体"/>
                <w:kern w:val="0"/>
                <w:sz w:val="24"/>
              </w:rPr>
              <w:t>3.问：请简要介绍一下公司资源储备情况？</w:t>
            </w:r>
          </w:p>
          <w:p w14:paraId="3E0048DC">
            <w:pPr>
              <w:ind w:firstLine="240" w:firstLineChars="100"/>
              <w:rPr>
                <w:rFonts w:ascii="宋体" w:hAnsi="宋体" w:cs="宋体"/>
                <w:kern w:val="0"/>
                <w:sz w:val="24"/>
              </w:rPr>
            </w:pPr>
            <w:r>
              <w:rPr>
                <w:rFonts w:hint="eastAsia" w:ascii="宋体" w:hAnsi="宋体" w:cs="宋体"/>
                <w:kern w:val="0"/>
                <w:sz w:val="24"/>
              </w:rPr>
              <w:t>答：公司拥有丰富的资源储备，运营两座大型露天钼矿山，其中金堆城钼矿是世界六大原生钼矿之一，储量丰富、品位较高、含杂低，产品品质尤其适合深加工，保有矿石资源量 4.51亿吨，平均品位 0.</w:t>
            </w:r>
            <w:r>
              <w:rPr>
                <w:rFonts w:ascii="宋体" w:hAnsi="宋体" w:cs="宋体"/>
                <w:kern w:val="0"/>
                <w:sz w:val="24"/>
              </w:rPr>
              <w:t>0</w:t>
            </w:r>
            <w:r>
              <w:rPr>
                <w:rFonts w:hint="eastAsia" w:ascii="宋体" w:hAnsi="宋体" w:cs="宋体"/>
                <w:kern w:val="0"/>
                <w:sz w:val="24"/>
              </w:rPr>
              <w:t>83%，服务年限34年；汝阳东沟钼矿资源量 4.62 亿吨，平均品位 0.120%，服务年限 56年。</w:t>
            </w:r>
          </w:p>
          <w:p w14:paraId="5EE975F7">
            <w:pPr>
              <w:jc w:val="left"/>
              <w:rPr>
                <w:rFonts w:ascii="宋体" w:hAnsi="宋体" w:cs="宋体"/>
                <w:kern w:val="0"/>
                <w:sz w:val="24"/>
              </w:rPr>
            </w:pPr>
          </w:p>
          <w:p w14:paraId="024506DA">
            <w:pPr>
              <w:rPr>
                <w:rFonts w:ascii="宋体" w:hAnsi="宋体" w:cs="宋体"/>
                <w:kern w:val="0"/>
                <w:sz w:val="24"/>
              </w:rPr>
            </w:pPr>
            <w:r>
              <w:rPr>
                <w:rFonts w:hint="eastAsia" w:ascii="宋体" w:hAnsi="宋体" w:cs="宋体"/>
                <w:kern w:val="0"/>
                <w:sz w:val="24"/>
              </w:rPr>
              <w:t>4.问：请介绍一下公司的核心竞争力？</w:t>
            </w:r>
          </w:p>
          <w:p w14:paraId="3317A0B4">
            <w:pPr>
              <w:ind w:firstLine="240" w:firstLineChars="100"/>
              <w:rPr>
                <w:rFonts w:ascii="宋体" w:hAnsi="宋体" w:cs="宋体"/>
                <w:kern w:val="0"/>
                <w:sz w:val="24"/>
              </w:rPr>
            </w:pPr>
            <w:r>
              <w:rPr>
                <w:rFonts w:hint="eastAsia" w:ascii="宋体" w:hAnsi="宋体" w:cs="宋体"/>
                <w:kern w:val="0"/>
                <w:sz w:val="24"/>
              </w:rPr>
              <w:t>答：公司拥有钼的采矿、选矿、冶炼、化工、金属加工、科研、贸易一体化全产业链条，拥有国内唯一专业从事钼及相关难熔金属研发的国家级企业技术中心。丰富的资源储备，领先的产业规模，优良的产品质量，强大的研发实力，健全的营销网络，构成公司跻身行业一流的核心竞争力。</w:t>
            </w:r>
          </w:p>
          <w:p w14:paraId="517C1F05">
            <w:pPr>
              <w:ind w:firstLine="240" w:firstLineChars="100"/>
              <w:rPr>
                <w:rFonts w:ascii="宋体" w:hAnsi="宋体" w:cs="宋体"/>
                <w:kern w:val="0"/>
                <w:sz w:val="24"/>
              </w:rPr>
            </w:pPr>
            <w:r>
              <w:rPr>
                <w:rFonts w:hint="eastAsia" w:ascii="宋体" w:hAnsi="宋体" w:cs="宋体"/>
                <w:sz w:val="24"/>
              </w:rPr>
              <w:t>未来，公司以打造世界一流钼业强企为</w:t>
            </w:r>
            <w:r>
              <w:rPr>
                <w:rFonts w:hint="eastAsia" w:ascii="宋体" w:hAnsi="宋体" w:cs="宋体"/>
                <w:kern w:val="0"/>
                <w:sz w:val="24"/>
              </w:rPr>
              <w:t>目标，坚持“材装并进、高端绿色”发展总基调，坚持“谋新做实，‘质、效、量’倍增”，</w:t>
            </w:r>
            <w:r>
              <w:rPr>
                <w:rFonts w:hint="eastAsia" w:ascii="宋体" w:hAnsi="宋体" w:cs="宋体"/>
                <w:sz w:val="24"/>
              </w:rPr>
              <w:t>实施“五级”延链建链，全面提升产业链供应链韧性和安全水平，全面提升公司管理水平和盈利能力，加快形成新的</w:t>
            </w:r>
            <w:r>
              <w:rPr>
                <w:rFonts w:hint="eastAsia" w:ascii="宋体" w:hAnsi="宋体" w:cs="宋体"/>
                <w:kern w:val="0"/>
                <w:sz w:val="24"/>
              </w:rPr>
              <w:t xml:space="preserve">竞争优势，进一步提升核心竞争力。 </w:t>
            </w:r>
          </w:p>
          <w:p w14:paraId="1D77D060">
            <w:pPr>
              <w:jc w:val="left"/>
              <w:rPr>
                <w:rFonts w:ascii="宋体" w:hAnsi="宋体" w:cs="宋体"/>
                <w:kern w:val="0"/>
                <w:sz w:val="24"/>
              </w:rPr>
            </w:pPr>
          </w:p>
          <w:p w14:paraId="0D1A09D1">
            <w:pPr>
              <w:jc w:val="left"/>
              <w:rPr>
                <w:rFonts w:ascii="宋体" w:hAnsi="宋体" w:cs="宋体"/>
                <w:kern w:val="0"/>
                <w:sz w:val="24"/>
              </w:rPr>
            </w:pPr>
            <w:r>
              <w:rPr>
                <w:rFonts w:hint="eastAsia" w:ascii="宋体" w:hAnsi="宋体" w:cs="宋体"/>
                <w:kern w:val="0"/>
                <w:sz w:val="24"/>
              </w:rPr>
              <w:t>5.问：请问公司分红政策及投资者回报如何？</w:t>
            </w:r>
          </w:p>
          <w:p w14:paraId="0C39491F">
            <w:pPr>
              <w:jc w:val="left"/>
              <w:rPr>
                <w:rFonts w:ascii="宋体" w:hAnsi="宋体" w:cs="宋体"/>
                <w:kern w:val="0"/>
                <w:sz w:val="24"/>
              </w:rPr>
            </w:pPr>
            <w:r>
              <w:rPr>
                <w:rFonts w:hint="eastAsia" w:ascii="宋体" w:hAnsi="宋体" w:cs="宋体"/>
                <w:kern w:val="0"/>
                <w:sz w:val="24"/>
              </w:rPr>
              <w:t xml:space="preserve">  答：公司充分重视对投资者的合理投资回报，</w:t>
            </w:r>
            <w:r>
              <w:rPr>
                <w:rFonts w:hint="eastAsia" w:ascii="宋体" w:hAnsi="宋体" w:cs="宋体"/>
                <w:sz w:val="24"/>
              </w:rPr>
              <w:t>利润分配政策</w:t>
            </w:r>
            <w:r>
              <w:rPr>
                <w:rFonts w:hint="eastAsia" w:ascii="宋体" w:hAnsi="宋体" w:cs="宋体"/>
                <w:kern w:val="0"/>
                <w:sz w:val="24"/>
              </w:rPr>
              <w:t>兼顾公司长远利益、可持续发展及全体股东的整体利益，保持连续性和稳定性。</w:t>
            </w:r>
            <w:r>
              <w:rPr>
                <w:rFonts w:ascii="宋体" w:hAnsi="宋体" w:cs="宋体"/>
                <w:kern w:val="0"/>
                <w:sz w:val="24"/>
              </w:rPr>
              <w:t>分配决策程序规范，现金分红标准清晰明确。</w:t>
            </w:r>
            <w:r>
              <w:rPr>
                <w:rFonts w:hint="eastAsia" w:ascii="宋体" w:hAnsi="宋体" w:cs="宋体"/>
                <w:kern w:val="0"/>
                <w:sz w:val="24"/>
              </w:rPr>
              <w:t>近5年现金分红合计44.9亿，上市以来累计分红90.5亿，分红比例75.4%，位列两市前茅。</w:t>
            </w:r>
          </w:p>
          <w:p w14:paraId="0DDFF62B">
            <w:pPr>
              <w:jc w:val="left"/>
              <w:rPr>
                <w:rFonts w:ascii="宋体" w:hAnsi="宋体" w:cs="宋体"/>
                <w:kern w:val="0"/>
                <w:sz w:val="24"/>
              </w:rPr>
            </w:pPr>
          </w:p>
          <w:p w14:paraId="4EC3D834">
            <w:pPr>
              <w:jc w:val="left"/>
              <w:rPr>
                <w:rFonts w:ascii="宋体" w:hAnsi="宋体" w:cs="宋体"/>
                <w:kern w:val="0"/>
                <w:sz w:val="24"/>
              </w:rPr>
            </w:pPr>
            <w:r>
              <w:rPr>
                <w:rFonts w:hint="eastAsia" w:ascii="宋体" w:hAnsi="宋体" w:cs="宋体"/>
                <w:kern w:val="0"/>
                <w:sz w:val="24"/>
              </w:rPr>
              <w:t>6.问：公司新产品技术研发方面有哪些进展？</w:t>
            </w:r>
          </w:p>
          <w:p w14:paraId="5044FD73">
            <w:pPr>
              <w:ind w:firstLine="240" w:firstLineChars="100"/>
              <w:jc w:val="left"/>
              <w:rPr>
                <w:rFonts w:ascii="宋体" w:hAnsi="宋体" w:cs="宋体"/>
                <w:kern w:val="0"/>
                <w:sz w:val="24"/>
              </w:rPr>
            </w:pPr>
            <w:r>
              <w:rPr>
                <w:rFonts w:hint="eastAsia" w:ascii="宋体" w:hAnsi="宋体" w:cs="宋体"/>
                <w:kern w:val="0"/>
                <w:sz w:val="24"/>
              </w:rPr>
              <w:t>答：今年以来，公司13项国之重器项目进展顺利，其中低氧钼粉产业化项目攻克全流程惰性气体保护关键技术，实现产品销售；单重130千克钼顶头实现批量供货；增材制造用等离子体球形钼粉项目实现陶瓷管、送粉器等关键易耗零部件国产化；大长径比薄壁钼合金管材制备研究及产业化项目实现产品销售；“ICP”测定钼精矿中杂质元素含量技术填补国内空白。同时加强数智低碳矿山建设，全力推动绿色技术迭代升级和绿色产业建设，推广价值高，经济、社会、生态效益显著的低碳绿数发展应用场景。知识产权保护持续推进，取得授权专利20件，其中发明专利5件，实用新型专利15件。</w:t>
            </w:r>
          </w:p>
          <w:p w14:paraId="3A35A6ED">
            <w:pPr>
              <w:jc w:val="left"/>
              <w:rPr>
                <w:rFonts w:ascii="宋体" w:hAnsi="宋体" w:cs="宋体"/>
                <w:kern w:val="0"/>
                <w:sz w:val="24"/>
                <w:highlight w:val="yellow"/>
              </w:rPr>
            </w:pPr>
          </w:p>
          <w:p w14:paraId="03F34640">
            <w:pPr>
              <w:jc w:val="left"/>
              <w:rPr>
                <w:rFonts w:ascii="宋体" w:hAnsi="宋体" w:cs="宋体"/>
                <w:kern w:val="0"/>
                <w:sz w:val="24"/>
              </w:rPr>
            </w:pPr>
            <w:r>
              <w:rPr>
                <w:rFonts w:hint="eastAsia" w:ascii="宋体" w:hAnsi="宋体" w:cs="宋体"/>
                <w:kern w:val="0"/>
                <w:sz w:val="24"/>
              </w:rPr>
              <w:t>7.问：请问近期钼市场表现如何？</w:t>
            </w:r>
          </w:p>
          <w:p w14:paraId="604AEAFF">
            <w:pPr>
              <w:ind w:firstLine="240" w:firstLineChars="100"/>
              <w:jc w:val="left"/>
              <w:rPr>
                <w:rFonts w:ascii="宋体" w:hAnsi="宋体" w:cs="宋体"/>
                <w:kern w:val="0"/>
                <w:sz w:val="24"/>
              </w:rPr>
            </w:pPr>
            <w:r>
              <w:rPr>
                <w:rFonts w:hint="eastAsia" w:ascii="宋体" w:hAnsi="宋体" w:cs="宋体"/>
                <w:kern w:val="0"/>
                <w:sz w:val="24"/>
              </w:rPr>
              <w:t>答：据钨钼云商消息显示：近期45-50%品位钼精矿报价</w:t>
            </w:r>
            <w:r>
              <w:rPr>
                <w:rFonts w:hint="eastAsia" w:ascii="宋体" w:hAnsi="宋体" w:cs="宋体"/>
                <w:color w:val="000000" w:themeColor="text1"/>
                <w:kern w:val="0"/>
                <w:sz w:val="24"/>
                <w14:textFill>
                  <w14:solidFill>
                    <w14:schemeClr w14:val="tx1"/>
                  </w14:solidFill>
                </w14:textFill>
              </w:rPr>
              <w:t>3750-3815</w:t>
            </w:r>
            <w:r>
              <w:rPr>
                <w:rFonts w:hint="eastAsia" w:ascii="宋体" w:hAnsi="宋体" w:cs="宋体"/>
                <w:kern w:val="0"/>
                <w:sz w:val="24"/>
              </w:rPr>
              <w:t>元/吨度，钼铁报价24.3-24.5万元/基吨。近日钼铁需求持续释放，10月钢招量超预期展开，在需求的推动下，钼市场价格有所上涨。</w:t>
            </w:r>
          </w:p>
        </w:tc>
      </w:tr>
    </w:tbl>
    <w:p w14:paraId="76986CB4">
      <w:pPr>
        <w:spacing w:line="600" w:lineRule="auto"/>
        <w:rPr>
          <w:rFonts w:ascii="宋体" w:hAnsi="宋体" w:cs="宋体"/>
          <w:bCs/>
          <w:color w:val="000000"/>
          <w:kern w:val="0"/>
          <w:sz w:val="28"/>
          <w:szCs w:val="28"/>
        </w:rPr>
      </w:pPr>
    </w:p>
    <w:sectPr>
      <w:footerReference r:id="rId3" w:type="default"/>
      <w:pgSz w:w="11906" w:h="16838"/>
      <w:pgMar w:top="1440"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55577"/>
    </w:sdtPr>
    <w:sdtContent>
      <w:p w14:paraId="17C1DDC0">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5A8CC9A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jI4NjYwYTEzM2FiMTNjZjI5YzE5ODQ2MWQ4NjkifQ=="/>
  </w:docVars>
  <w:rsids>
    <w:rsidRoot w:val="00BB56D6"/>
    <w:rsid w:val="00002409"/>
    <w:rsid w:val="00010DC3"/>
    <w:rsid w:val="00021B07"/>
    <w:rsid w:val="000235B2"/>
    <w:rsid w:val="00030F96"/>
    <w:rsid w:val="00045250"/>
    <w:rsid w:val="00045E93"/>
    <w:rsid w:val="000479BB"/>
    <w:rsid w:val="00056A7A"/>
    <w:rsid w:val="00065A96"/>
    <w:rsid w:val="00067254"/>
    <w:rsid w:val="0007097F"/>
    <w:rsid w:val="00074DD1"/>
    <w:rsid w:val="00076258"/>
    <w:rsid w:val="00082390"/>
    <w:rsid w:val="00092506"/>
    <w:rsid w:val="000A221D"/>
    <w:rsid w:val="000B0ECE"/>
    <w:rsid w:val="000B1AB3"/>
    <w:rsid w:val="000B3DAB"/>
    <w:rsid w:val="000B41E3"/>
    <w:rsid w:val="000B7129"/>
    <w:rsid w:val="000C7819"/>
    <w:rsid w:val="000D6924"/>
    <w:rsid w:val="000E3BAE"/>
    <w:rsid w:val="000E5FEA"/>
    <w:rsid w:val="000F345F"/>
    <w:rsid w:val="000F4C34"/>
    <w:rsid w:val="001007DD"/>
    <w:rsid w:val="0011531D"/>
    <w:rsid w:val="00117149"/>
    <w:rsid w:val="00122B4A"/>
    <w:rsid w:val="00127C35"/>
    <w:rsid w:val="00151B9B"/>
    <w:rsid w:val="00153B5A"/>
    <w:rsid w:val="00157B1D"/>
    <w:rsid w:val="0016205E"/>
    <w:rsid w:val="00172BCA"/>
    <w:rsid w:val="00177C17"/>
    <w:rsid w:val="00186ACE"/>
    <w:rsid w:val="001A0530"/>
    <w:rsid w:val="001A1919"/>
    <w:rsid w:val="001A4422"/>
    <w:rsid w:val="001A7FCB"/>
    <w:rsid w:val="001C354F"/>
    <w:rsid w:val="001D4C0A"/>
    <w:rsid w:val="001D5042"/>
    <w:rsid w:val="001E5A5A"/>
    <w:rsid w:val="001F0F94"/>
    <w:rsid w:val="001F2C39"/>
    <w:rsid w:val="00200323"/>
    <w:rsid w:val="00201A95"/>
    <w:rsid w:val="00214CBE"/>
    <w:rsid w:val="00230394"/>
    <w:rsid w:val="00230B41"/>
    <w:rsid w:val="00235354"/>
    <w:rsid w:val="00246AAE"/>
    <w:rsid w:val="00247EA8"/>
    <w:rsid w:val="00260315"/>
    <w:rsid w:val="00260395"/>
    <w:rsid w:val="00260A06"/>
    <w:rsid w:val="002615EC"/>
    <w:rsid w:val="00276402"/>
    <w:rsid w:val="0028358A"/>
    <w:rsid w:val="00286054"/>
    <w:rsid w:val="00292AA9"/>
    <w:rsid w:val="0029368D"/>
    <w:rsid w:val="0029413D"/>
    <w:rsid w:val="00294B57"/>
    <w:rsid w:val="002974E2"/>
    <w:rsid w:val="002A0168"/>
    <w:rsid w:val="002B2138"/>
    <w:rsid w:val="002B5B57"/>
    <w:rsid w:val="002B72E4"/>
    <w:rsid w:val="002C1E52"/>
    <w:rsid w:val="002C2BD0"/>
    <w:rsid w:val="002C589C"/>
    <w:rsid w:val="002C6CC6"/>
    <w:rsid w:val="002D1FF3"/>
    <w:rsid w:val="002D3288"/>
    <w:rsid w:val="002F3AA3"/>
    <w:rsid w:val="002F4C3E"/>
    <w:rsid w:val="002F5ACC"/>
    <w:rsid w:val="002F7DA6"/>
    <w:rsid w:val="00301231"/>
    <w:rsid w:val="00305822"/>
    <w:rsid w:val="00306CA1"/>
    <w:rsid w:val="00313718"/>
    <w:rsid w:val="00313A4D"/>
    <w:rsid w:val="0032150D"/>
    <w:rsid w:val="00330ACB"/>
    <w:rsid w:val="00334135"/>
    <w:rsid w:val="003349B0"/>
    <w:rsid w:val="00351766"/>
    <w:rsid w:val="0035454B"/>
    <w:rsid w:val="003676BC"/>
    <w:rsid w:val="00367BA1"/>
    <w:rsid w:val="00372778"/>
    <w:rsid w:val="003823E3"/>
    <w:rsid w:val="0038376D"/>
    <w:rsid w:val="0038411E"/>
    <w:rsid w:val="0039578A"/>
    <w:rsid w:val="003A0B71"/>
    <w:rsid w:val="003A7BAA"/>
    <w:rsid w:val="003B2C79"/>
    <w:rsid w:val="003B4814"/>
    <w:rsid w:val="003C0FFF"/>
    <w:rsid w:val="003C2E8D"/>
    <w:rsid w:val="003D07D7"/>
    <w:rsid w:val="003D38A0"/>
    <w:rsid w:val="003E1500"/>
    <w:rsid w:val="003E4024"/>
    <w:rsid w:val="003E53B0"/>
    <w:rsid w:val="003F19C0"/>
    <w:rsid w:val="0040396C"/>
    <w:rsid w:val="00403FC0"/>
    <w:rsid w:val="00411D7A"/>
    <w:rsid w:val="004233C0"/>
    <w:rsid w:val="00431324"/>
    <w:rsid w:val="00441EAC"/>
    <w:rsid w:val="00452C70"/>
    <w:rsid w:val="00454D3E"/>
    <w:rsid w:val="004579A4"/>
    <w:rsid w:val="00466973"/>
    <w:rsid w:val="00467F62"/>
    <w:rsid w:val="00471862"/>
    <w:rsid w:val="00475C3C"/>
    <w:rsid w:val="00483D32"/>
    <w:rsid w:val="00485E3C"/>
    <w:rsid w:val="00486D8C"/>
    <w:rsid w:val="00492594"/>
    <w:rsid w:val="0049721C"/>
    <w:rsid w:val="004A157B"/>
    <w:rsid w:val="004B0C09"/>
    <w:rsid w:val="004C2F42"/>
    <w:rsid w:val="004E1BFC"/>
    <w:rsid w:val="004E2472"/>
    <w:rsid w:val="004F282E"/>
    <w:rsid w:val="004F30DB"/>
    <w:rsid w:val="00500B89"/>
    <w:rsid w:val="00504090"/>
    <w:rsid w:val="00504525"/>
    <w:rsid w:val="0050693D"/>
    <w:rsid w:val="0051159B"/>
    <w:rsid w:val="00522602"/>
    <w:rsid w:val="00522A66"/>
    <w:rsid w:val="0053033E"/>
    <w:rsid w:val="00531EB4"/>
    <w:rsid w:val="00532566"/>
    <w:rsid w:val="005343FD"/>
    <w:rsid w:val="0054509E"/>
    <w:rsid w:val="0054655B"/>
    <w:rsid w:val="005503EB"/>
    <w:rsid w:val="0056174E"/>
    <w:rsid w:val="00585CF5"/>
    <w:rsid w:val="0058751C"/>
    <w:rsid w:val="0059160C"/>
    <w:rsid w:val="005A5B7D"/>
    <w:rsid w:val="005B2AFF"/>
    <w:rsid w:val="005C22DB"/>
    <w:rsid w:val="005C739A"/>
    <w:rsid w:val="005D2C43"/>
    <w:rsid w:val="005E0344"/>
    <w:rsid w:val="005E4BFC"/>
    <w:rsid w:val="005F2C79"/>
    <w:rsid w:val="006141B7"/>
    <w:rsid w:val="00616A50"/>
    <w:rsid w:val="006238E6"/>
    <w:rsid w:val="00627083"/>
    <w:rsid w:val="00634AAD"/>
    <w:rsid w:val="00635905"/>
    <w:rsid w:val="0064034A"/>
    <w:rsid w:val="00640948"/>
    <w:rsid w:val="00641FB0"/>
    <w:rsid w:val="00643517"/>
    <w:rsid w:val="006436FD"/>
    <w:rsid w:val="006563B8"/>
    <w:rsid w:val="006619F2"/>
    <w:rsid w:val="00685513"/>
    <w:rsid w:val="006857E5"/>
    <w:rsid w:val="00687405"/>
    <w:rsid w:val="006A1FBF"/>
    <w:rsid w:val="006A39B4"/>
    <w:rsid w:val="006A56EA"/>
    <w:rsid w:val="006B3ECD"/>
    <w:rsid w:val="006C30C3"/>
    <w:rsid w:val="006D0A12"/>
    <w:rsid w:val="006D6B6D"/>
    <w:rsid w:val="006E05CD"/>
    <w:rsid w:val="006E0C40"/>
    <w:rsid w:val="006E1834"/>
    <w:rsid w:val="006E3AD5"/>
    <w:rsid w:val="006E5501"/>
    <w:rsid w:val="006F06CF"/>
    <w:rsid w:val="00704D66"/>
    <w:rsid w:val="0070717D"/>
    <w:rsid w:val="007157F0"/>
    <w:rsid w:val="007160CA"/>
    <w:rsid w:val="007272FF"/>
    <w:rsid w:val="0074038A"/>
    <w:rsid w:val="007406E5"/>
    <w:rsid w:val="00742EBE"/>
    <w:rsid w:val="00751119"/>
    <w:rsid w:val="0075519D"/>
    <w:rsid w:val="00763066"/>
    <w:rsid w:val="00765A0C"/>
    <w:rsid w:val="00767CC4"/>
    <w:rsid w:val="007722DF"/>
    <w:rsid w:val="00775E21"/>
    <w:rsid w:val="00790869"/>
    <w:rsid w:val="0079454E"/>
    <w:rsid w:val="007A42B4"/>
    <w:rsid w:val="007A44BC"/>
    <w:rsid w:val="007A5022"/>
    <w:rsid w:val="007B460A"/>
    <w:rsid w:val="007B5C5A"/>
    <w:rsid w:val="007B6214"/>
    <w:rsid w:val="007B653B"/>
    <w:rsid w:val="007C05C9"/>
    <w:rsid w:val="007C0A6D"/>
    <w:rsid w:val="007D183C"/>
    <w:rsid w:val="007E52D9"/>
    <w:rsid w:val="00801187"/>
    <w:rsid w:val="00805310"/>
    <w:rsid w:val="00806EC8"/>
    <w:rsid w:val="0081572F"/>
    <w:rsid w:val="00825311"/>
    <w:rsid w:val="00830CB0"/>
    <w:rsid w:val="008322EF"/>
    <w:rsid w:val="0083288A"/>
    <w:rsid w:val="0084185E"/>
    <w:rsid w:val="008517A3"/>
    <w:rsid w:val="0085330F"/>
    <w:rsid w:val="00853FE1"/>
    <w:rsid w:val="008620A5"/>
    <w:rsid w:val="00865DAB"/>
    <w:rsid w:val="00865F37"/>
    <w:rsid w:val="00884E2F"/>
    <w:rsid w:val="008857F0"/>
    <w:rsid w:val="00885F36"/>
    <w:rsid w:val="00886994"/>
    <w:rsid w:val="008922A0"/>
    <w:rsid w:val="00896F76"/>
    <w:rsid w:val="008A1404"/>
    <w:rsid w:val="008A1816"/>
    <w:rsid w:val="008B5829"/>
    <w:rsid w:val="008B7BDE"/>
    <w:rsid w:val="008C442B"/>
    <w:rsid w:val="008C65BC"/>
    <w:rsid w:val="008D11A8"/>
    <w:rsid w:val="008D35F8"/>
    <w:rsid w:val="008E0255"/>
    <w:rsid w:val="008E2870"/>
    <w:rsid w:val="00905F5D"/>
    <w:rsid w:val="00907151"/>
    <w:rsid w:val="00910CAA"/>
    <w:rsid w:val="00920800"/>
    <w:rsid w:val="009217A4"/>
    <w:rsid w:val="009318F2"/>
    <w:rsid w:val="00934BA0"/>
    <w:rsid w:val="00937459"/>
    <w:rsid w:val="0094174E"/>
    <w:rsid w:val="0095333F"/>
    <w:rsid w:val="00965E15"/>
    <w:rsid w:val="00966EDC"/>
    <w:rsid w:val="00984C7C"/>
    <w:rsid w:val="0098526C"/>
    <w:rsid w:val="00986F16"/>
    <w:rsid w:val="00991B2D"/>
    <w:rsid w:val="009A19AE"/>
    <w:rsid w:val="009A208B"/>
    <w:rsid w:val="009A39A9"/>
    <w:rsid w:val="009B5DF6"/>
    <w:rsid w:val="009C45DE"/>
    <w:rsid w:val="009C6DB0"/>
    <w:rsid w:val="009D263F"/>
    <w:rsid w:val="009D4200"/>
    <w:rsid w:val="009D5A85"/>
    <w:rsid w:val="009D7065"/>
    <w:rsid w:val="009E1695"/>
    <w:rsid w:val="00A0265B"/>
    <w:rsid w:val="00A05FD0"/>
    <w:rsid w:val="00A1009D"/>
    <w:rsid w:val="00A136B5"/>
    <w:rsid w:val="00A231E2"/>
    <w:rsid w:val="00A31C81"/>
    <w:rsid w:val="00A3730A"/>
    <w:rsid w:val="00A476F1"/>
    <w:rsid w:val="00A50414"/>
    <w:rsid w:val="00A70566"/>
    <w:rsid w:val="00A76060"/>
    <w:rsid w:val="00A7732D"/>
    <w:rsid w:val="00A9132E"/>
    <w:rsid w:val="00A91E7E"/>
    <w:rsid w:val="00A969E8"/>
    <w:rsid w:val="00A972C7"/>
    <w:rsid w:val="00AA1CF1"/>
    <w:rsid w:val="00AA3CF7"/>
    <w:rsid w:val="00AB09FF"/>
    <w:rsid w:val="00AB17ED"/>
    <w:rsid w:val="00AC5E88"/>
    <w:rsid w:val="00AD35C4"/>
    <w:rsid w:val="00AD6F8A"/>
    <w:rsid w:val="00AE3FD2"/>
    <w:rsid w:val="00AE43C7"/>
    <w:rsid w:val="00B0037C"/>
    <w:rsid w:val="00B13A57"/>
    <w:rsid w:val="00B16AED"/>
    <w:rsid w:val="00B17D9B"/>
    <w:rsid w:val="00B35609"/>
    <w:rsid w:val="00B42288"/>
    <w:rsid w:val="00B468AE"/>
    <w:rsid w:val="00B52B2E"/>
    <w:rsid w:val="00B54948"/>
    <w:rsid w:val="00B621A1"/>
    <w:rsid w:val="00B7197E"/>
    <w:rsid w:val="00B77BAA"/>
    <w:rsid w:val="00B84F3F"/>
    <w:rsid w:val="00B92E61"/>
    <w:rsid w:val="00BA3E56"/>
    <w:rsid w:val="00BB0C0D"/>
    <w:rsid w:val="00BB297D"/>
    <w:rsid w:val="00BB56D6"/>
    <w:rsid w:val="00BC5DAF"/>
    <w:rsid w:val="00BC647A"/>
    <w:rsid w:val="00C10F16"/>
    <w:rsid w:val="00C12D30"/>
    <w:rsid w:val="00C1359C"/>
    <w:rsid w:val="00C13CE4"/>
    <w:rsid w:val="00C2034C"/>
    <w:rsid w:val="00C24708"/>
    <w:rsid w:val="00C247CB"/>
    <w:rsid w:val="00C2671C"/>
    <w:rsid w:val="00C31B7E"/>
    <w:rsid w:val="00C33BC0"/>
    <w:rsid w:val="00C363E1"/>
    <w:rsid w:val="00C42A91"/>
    <w:rsid w:val="00C65BC0"/>
    <w:rsid w:val="00C70117"/>
    <w:rsid w:val="00C95B8C"/>
    <w:rsid w:val="00CA703F"/>
    <w:rsid w:val="00CA7BD2"/>
    <w:rsid w:val="00CB03C5"/>
    <w:rsid w:val="00CB3FDA"/>
    <w:rsid w:val="00CB6BCF"/>
    <w:rsid w:val="00CC47C9"/>
    <w:rsid w:val="00CC6A48"/>
    <w:rsid w:val="00CD2857"/>
    <w:rsid w:val="00CE3F11"/>
    <w:rsid w:val="00CE43A0"/>
    <w:rsid w:val="00CE5F5B"/>
    <w:rsid w:val="00CF0A6C"/>
    <w:rsid w:val="00CF5564"/>
    <w:rsid w:val="00D05803"/>
    <w:rsid w:val="00D15DE4"/>
    <w:rsid w:val="00D16D41"/>
    <w:rsid w:val="00D20E55"/>
    <w:rsid w:val="00D265EC"/>
    <w:rsid w:val="00D33EB6"/>
    <w:rsid w:val="00D4341A"/>
    <w:rsid w:val="00D47AC5"/>
    <w:rsid w:val="00D5062F"/>
    <w:rsid w:val="00D55B47"/>
    <w:rsid w:val="00D72965"/>
    <w:rsid w:val="00D73CFC"/>
    <w:rsid w:val="00D74D08"/>
    <w:rsid w:val="00D76B1C"/>
    <w:rsid w:val="00D771FB"/>
    <w:rsid w:val="00D803F1"/>
    <w:rsid w:val="00D81665"/>
    <w:rsid w:val="00D836CF"/>
    <w:rsid w:val="00DC3C1C"/>
    <w:rsid w:val="00DD3920"/>
    <w:rsid w:val="00DF44AA"/>
    <w:rsid w:val="00E16C2A"/>
    <w:rsid w:val="00E25E2A"/>
    <w:rsid w:val="00E534A6"/>
    <w:rsid w:val="00E53BBA"/>
    <w:rsid w:val="00E62AFC"/>
    <w:rsid w:val="00E62C3C"/>
    <w:rsid w:val="00E66FDC"/>
    <w:rsid w:val="00E7132D"/>
    <w:rsid w:val="00E72FE8"/>
    <w:rsid w:val="00E75072"/>
    <w:rsid w:val="00E7509B"/>
    <w:rsid w:val="00E81A06"/>
    <w:rsid w:val="00E84279"/>
    <w:rsid w:val="00E8616C"/>
    <w:rsid w:val="00E8761C"/>
    <w:rsid w:val="00E95ED6"/>
    <w:rsid w:val="00EA5E1D"/>
    <w:rsid w:val="00EB1BE8"/>
    <w:rsid w:val="00EB4ECC"/>
    <w:rsid w:val="00EB7FD4"/>
    <w:rsid w:val="00EC0618"/>
    <w:rsid w:val="00EC0980"/>
    <w:rsid w:val="00EC1031"/>
    <w:rsid w:val="00EC1BCA"/>
    <w:rsid w:val="00EC21F1"/>
    <w:rsid w:val="00ED3938"/>
    <w:rsid w:val="00ED5856"/>
    <w:rsid w:val="00ED6619"/>
    <w:rsid w:val="00EE28EF"/>
    <w:rsid w:val="00EE44F9"/>
    <w:rsid w:val="00EE50E2"/>
    <w:rsid w:val="00EF031B"/>
    <w:rsid w:val="00EF780D"/>
    <w:rsid w:val="00F02887"/>
    <w:rsid w:val="00F04F55"/>
    <w:rsid w:val="00F06D6C"/>
    <w:rsid w:val="00F1080F"/>
    <w:rsid w:val="00F13066"/>
    <w:rsid w:val="00F3264E"/>
    <w:rsid w:val="00F35ACF"/>
    <w:rsid w:val="00F36269"/>
    <w:rsid w:val="00F373C0"/>
    <w:rsid w:val="00F40DB4"/>
    <w:rsid w:val="00F43247"/>
    <w:rsid w:val="00F47385"/>
    <w:rsid w:val="00F60129"/>
    <w:rsid w:val="00F64130"/>
    <w:rsid w:val="00F6576C"/>
    <w:rsid w:val="00F666D6"/>
    <w:rsid w:val="00F66CD0"/>
    <w:rsid w:val="00F7238A"/>
    <w:rsid w:val="00F81EC0"/>
    <w:rsid w:val="00F909AB"/>
    <w:rsid w:val="00F90D17"/>
    <w:rsid w:val="00F92D15"/>
    <w:rsid w:val="00F9651D"/>
    <w:rsid w:val="00FA6BAF"/>
    <w:rsid w:val="00FA799D"/>
    <w:rsid w:val="00FB3143"/>
    <w:rsid w:val="00FB7175"/>
    <w:rsid w:val="00FC78CE"/>
    <w:rsid w:val="00FF5833"/>
    <w:rsid w:val="00FF7996"/>
    <w:rsid w:val="01615ADF"/>
    <w:rsid w:val="03AF2447"/>
    <w:rsid w:val="0D896A37"/>
    <w:rsid w:val="169E1525"/>
    <w:rsid w:val="18B54B84"/>
    <w:rsid w:val="4AC61526"/>
    <w:rsid w:val="528C5281"/>
    <w:rsid w:val="70E64A50"/>
    <w:rsid w:val="74B6189C"/>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标题 2 Char"/>
    <w:basedOn w:val="10"/>
    <w:link w:val="2"/>
    <w:qFormat/>
    <w:uiPriority w:val="9"/>
    <w:rPr>
      <w:rFonts w:ascii="宋体" w:hAnsi="宋体" w:eastAsia="宋体" w:cs="宋体"/>
      <w:b/>
      <w:bCs/>
      <w:kern w:val="0"/>
      <w:sz w:val="36"/>
      <w:szCs w:val="36"/>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media_tool_meta"/>
    <w:basedOn w:val="10"/>
    <w:qFormat/>
    <w:uiPriority w:val="0"/>
  </w:style>
  <w:style w:type="character" w:customStyle="1" w:styleId="22">
    <w:name w:val="like_num"/>
    <w:basedOn w:val="10"/>
    <w:qFormat/>
    <w:uiPriority w:val="0"/>
  </w:style>
  <w:style w:type="paragraph" w:customStyle="1" w:styleId="23">
    <w:name w:val="discuss_icon_tips"/>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praise_num"/>
    <w:basedOn w:val="10"/>
    <w:qFormat/>
    <w:uiPriority w:val="0"/>
  </w:style>
  <w:style w:type="character" w:customStyle="1" w:styleId="25">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6">
    <w:name w:val="fontstyle01"/>
    <w:basedOn w:val="10"/>
    <w:qFormat/>
    <w:uiPriority w:val="0"/>
    <w:rPr>
      <w:rFonts w:hint="eastAsia" w:ascii="宋体" w:hAnsi="宋体" w:eastAsia="宋体"/>
      <w:color w:val="000000"/>
      <w:sz w:val="24"/>
      <w:szCs w:val="24"/>
    </w:rPr>
  </w:style>
  <w:style w:type="character" w:customStyle="1" w:styleId="27">
    <w:name w:val="fontstyle21"/>
    <w:basedOn w:val="10"/>
    <w:qFormat/>
    <w:uiPriority w:val="0"/>
    <w:rPr>
      <w:rFonts w:hint="default" w:ascii="Times New Roman" w:hAnsi="Times New Roman" w:cs="Times New Roman"/>
      <w:color w:val="000000"/>
      <w:sz w:val="24"/>
      <w:szCs w:val="24"/>
    </w:rPr>
  </w:style>
  <w:style w:type="character" w:customStyle="1" w:styleId="28">
    <w:name w:val="fontstyle11"/>
    <w:basedOn w:val="10"/>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C82F2-6D50-43BE-BED8-0484AB4AEB5B}">
  <ds:schemaRefs/>
</ds:datastoreItem>
</file>

<file path=docProps/app.xml><?xml version="1.0" encoding="utf-8"?>
<Properties xmlns="http://schemas.openxmlformats.org/officeDocument/2006/extended-properties" xmlns:vt="http://schemas.openxmlformats.org/officeDocument/2006/docPropsVTypes">
  <Template>Normal.dotm</Template>
  <Company>JDC</Company>
  <Pages>2</Pages>
  <Words>1409</Words>
  <Characters>1504</Characters>
  <Lines>12</Lines>
  <Paragraphs>3</Paragraphs>
  <TotalTime>24</TotalTime>
  <ScaleCrop>false</ScaleCrop>
  <LinksUpToDate>false</LinksUpToDate>
  <CharactersWithSpaces>1608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2023-08-21T08:41:00Z</dcterms:created>
  <dc:creator>xi</dc:creator>
  <cp:lastModifiedBy>郑茜茜</cp:lastModifiedBy>
  <cp:lastPrinted>2024-10-18T01:54:00Z</cp:lastPrinted>
  <dcterms:modified xsi:type="dcterms:W3CDTF">2024-10-23T06:28:28Z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54DE0974E90A415DA7921ABA3A6483C3_13</vt:lpwstr>
  </property>
</Properties>
</file>