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7FA5" w14:textId="77777777" w:rsidR="00BE3855" w:rsidRPr="00602296" w:rsidRDefault="00BE3855" w:rsidP="009B4A01">
      <w:pPr>
        <w:spacing w:beforeLines="50" w:before="156" w:line="360" w:lineRule="auto"/>
        <w:ind w:firstLineChars="0" w:firstLine="0"/>
        <w:rPr>
          <w:rFonts w:ascii="宋体" w:eastAsia="宋体" w:hAnsi="宋体" w:cs="宋体"/>
          <w:sz w:val="21"/>
          <w:szCs w:val="21"/>
        </w:rPr>
      </w:pP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证券代码：</w:t>
      </w:r>
      <w:r w:rsidRPr="00602296">
        <w:rPr>
          <w:rFonts w:ascii="宋体" w:eastAsia="宋体" w:hAnsi="宋体" w:cs="宋体"/>
          <w:sz w:val="21"/>
          <w:szCs w:val="21"/>
        </w:rPr>
        <w:t xml:space="preserve">603600                                          </w:t>
      </w:r>
      <w:r w:rsidRPr="00602296">
        <w:rPr>
          <w:rFonts w:ascii="宋体" w:eastAsia="宋体" w:hAnsi="宋体" w:cs="宋体" w:hint="eastAsia"/>
          <w:b/>
          <w:bCs/>
          <w:sz w:val="21"/>
          <w:szCs w:val="21"/>
        </w:rPr>
        <w:t>证券简称：</w:t>
      </w:r>
      <w:proofErr w:type="gramStart"/>
      <w:r w:rsidRPr="00602296">
        <w:rPr>
          <w:rFonts w:ascii="宋体" w:eastAsia="宋体" w:hAnsi="宋体" w:cs="宋体" w:hint="eastAsia"/>
          <w:sz w:val="21"/>
          <w:szCs w:val="21"/>
        </w:rPr>
        <w:t>永艺股份</w:t>
      </w:r>
      <w:proofErr w:type="gramEnd"/>
    </w:p>
    <w:p w14:paraId="0B47A553" w14:textId="77777777" w:rsidR="00BE3855" w:rsidRPr="00602296" w:rsidRDefault="00BE3855" w:rsidP="009B4A01">
      <w:pPr>
        <w:spacing w:beforeLines="150" w:before="468" w:line="360" w:lineRule="auto"/>
        <w:ind w:firstLineChars="0" w:firstLine="0"/>
        <w:jc w:val="center"/>
        <w:rPr>
          <w:rFonts w:ascii="宋体" w:eastAsia="宋体" w:hAnsi="宋体" w:cs="宋体"/>
          <w:b/>
          <w:iCs/>
          <w:sz w:val="28"/>
          <w:szCs w:val="28"/>
        </w:rPr>
      </w:pPr>
      <w:proofErr w:type="gramStart"/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永艺家具</w:t>
      </w:r>
      <w:proofErr w:type="gramEnd"/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股份有限公司</w:t>
      </w:r>
    </w:p>
    <w:p w14:paraId="569E2676" w14:textId="77777777" w:rsidR="00BE3855" w:rsidRPr="00602296" w:rsidRDefault="00BE3855" w:rsidP="00BE3855">
      <w:pPr>
        <w:spacing w:line="360" w:lineRule="auto"/>
        <w:ind w:firstLineChars="0" w:firstLine="0"/>
        <w:jc w:val="center"/>
        <w:rPr>
          <w:rFonts w:ascii="宋体" w:eastAsia="宋体" w:hAnsi="宋体" w:cs="宋体"/>
          <w:b/>
          <w:iCs/>
          <w:sz w:val="28"/>
          <w:szCs w:val="28"/>
        </w:rPr>
      </w:pPr>
      <w:r w:rsidRPr="00602296">
        <w:rPr>
          <w:rFonts w:ascii="宋体" w:eastAsia="宋体" w:hAnsi="宋体" w:cs="宋体" w:hint="eastAsia"/>
          <w:b/>
          <w:iCs/>
          <w:sz w:val="28"/>
          <w:szCs w:val="28"/>
        </w:rPr>
        <w:t>投资者关系活动记录表</w:t>
      </w:r>
    </w:p>
    <w:p w14:paraId="27C88E49" w14:textId="2506FB01" w:rsidR="00BE3855" w:rsidRDefault="00BE3855">
      <w:pPr>
        <w:ind w:firstLine="420"/>
      </w:pP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 xml:space="preserve">                                             </w:t>
      </w:r>
      <w:r w:rsidRPr="00602296">
        <w:rPr>
          <w:rFonts w:ascii="宋体" w:eastAsia="宋体" w:hAnsi="宋体" w:cs="宋体"/>
          <w:bCs/>
          <w:iCs/>
          <w:sz w:val="21"/>
          <w:szCs w:val="21"/>
        </w:rPr>
        <w:t xml:space="preserve">                 </w:t>
      </w: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>编号：</w:t>
      </w:r>
      <w:r w:rsidRPr="00602296">
        <w:rPr>
          <w:rFonts w:ascii="宋体" w:eastAsia="宋体" w:hAnsi="宋体" w:cs="宋体"/>
          <w:bCs/>
          <w:iCs/>
          <w:sz w:val="21"/>
          <w:szCs w:val="21"/>
        </w:rPr>
        <w:t>2024</w:t>
      </w:r>
      <w:r w:rsidRPr="00602296">
        <w:rPr>
          <w:rFonts w:ascii="宋体" w:eastAsia="宋体" w:hAnsi="宋体" w:cs="宋体" w:hint="eastAsia"/>
          <w:bCs/>
          <w:iCs/>
          <w:sz w:val="21"/>
          <w:szCs w:val="21"/>
        </w:rPr>
        <w:t>-0</w:t>
      </w:r>
      <w:r w:rsidRPr="00602296">
        <w:rPr>
          <w:rFonts w:ascii="宋体" w:eastAsia="宋体" w:hAnsi="宋体" w:cs="宋体"/>
          <w:bCs/>
          <w:iCs/>
          <w:sz w:val="21"/>
          <w:szCs w:val="21"/>
        </w:rPr>
        <w:t>0</w:t>
      </w:r>
      <w:r>
        <w:rPr>
          <w:rFonts w:ascii="宋体" w:eastAsia="宋体" w:hAnsi="宋体" w:cs="宋体"/>
          <w:bCs/>
          <w:iCs/>
          <w:sz w:val="21"/>
          <w:szCs w:val="21"/>
        </w:rPr>
        <w:t>5</w:t>
      </w:r>
    </w:p>
    <w:tbl>
      <w:tblPr>
        <w:tblW w:w="495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4"/>
        <w:gridCol w:w="6662"/>
      </w:tblGrid>
      <w:tr w:rsidR="00BE3855" w:rsidRPr="00602296" w14:paraId="54097C57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FD09A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投资者关系活动类别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293A9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□特定对象调研        □分析师会议</w:t>
            </w:r>
          </w:p>
          <w:p w14:paraId="1EB7B401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□媒体采访            □业绩说明会</w:t>
            </w:r>
          </w:p>
          <w:p w14:paraId="08815CB7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□新闻发布会          □路演活动</w:t>
            </w:r>
          </w:p>
          <w:p w14:paraId="65CE7D7E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□现场参观 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 xml:space="preserve"> 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          √电话会议</w:t>
            </w:r>
          </w:p>
          <w:p w14:paraId="3DB140A3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 xml:space="preserve">□网络会议 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 xml:space="preserve">           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□其他</w:t>
            </w:r>
          </w:p>
        </w:tc>
      </w:tr>
      <w:tr w:rsidR="00BE3855" w:rsidRPr="00602296" w14:paraId="1659E55D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E841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参与机构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1C680" w14:textId="77777777" w:rsidR="00BE3855" w:rsidRPr="00C90E05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长江证券、国盛证券、诺德基金、西部利得基金、东方自营、华夏基金、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永赢基金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、泰康资产、中意资产、平安养老、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敦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和资产、北京知未私募、宁银理财、交银施罗德基金、国海证券、西部证券、中信建投、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浙商证券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、华福证券、东方财富证券、方正证券、华安基金、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恒越基金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、路博迈基金、申万宏源证券、中科沃土基金、纵贯资本、青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骊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投资、金鹰基金、中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金资管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、安信基金、保银投资、乘是投资、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赤钥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东财基金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、东海基金、方正富邦基金、富舜资产、国金证券、国泰君安证券、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泓德基金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汇添富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基金、嘉实基金、民生通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惠资管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、朴易资产、前海互兴、冲积资产管理、申万菱信基金、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泰信基金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、同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犇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投资、兴银基金、银河基金、银华基金、云汉资产、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中庚基金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、中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信建投基金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、中金基金、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兴证全球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、国金基金、天风资管、华泰自营、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中融信托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泽泉投资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锐方私募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、银叶投资、恒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邦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兆丰、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三耕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资产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</w:t>
            </w:r>
            <w:proofErr w:type="gramStart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汇信聚盈</w:t>
            </w:r>
            <w:proofErr w:type="gramEnd"/>
            <w:r w:rsidRPr="00C90E05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、红杉资本</w:t>
            </w:r>
          </w:p>
          <w:p w14:paraId="0CC901E2" w14:textId="77777777" w:rsidR="00BE3855" w:rsidRPr="00D74C3F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color w:val="FF0000"/>
                <w:sz w:val="21"/>
                <w:szCs w:val="21"/>
              </w:rPr>
            </w:pPr>
            <w:r w:rsidRPr="00A030FD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（排名不分先后）</w:t>
            </w:r>
          </w:p>
        </w:tc>
      </w:tr>
      <w:tr w:rsidR="00BE3855" w:rsidRPr="00602296" w14:paraId="06A3FB8E" w14:textId="77777777" w:rsidTr="009E0F58">
        <w:trPr>
          <w:trHeight w:val="622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0E559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时间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B4287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024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10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26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日（星期</w:t>
            </w:r>
            <w:r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六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）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10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-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11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，1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4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00-1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5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: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00</w:t>
            </w:r>
          </w:p>
        </w:tc>
      </w:tr>
      <w:tr w:rsidR="00BE3855" w:rsidRPr="00602296" w14:paraId="2C5F41B4" w14:textId="77777777" w:rsidTr="009E0F58">
        <w:trPr>
          <w:trHeight w:val="560"/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2723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地点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85E88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线上会议</w:t>
            </w:r>
          </w:p>
        </w:tc>
      </w:tr>
      <w:tr w:rsidR="00BE3855" w:rsidRPr="00602296" w14:paraId="66707477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5601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上市公司接待人员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84660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/>
                <w:sz w:val="21"/>
                <w:szCs w:val="21"/>
              </w:rPr>
            </w:pPr>
            <w:r w:rsidRPr="00602296">
              <w:rPr>
                <w:rFonts w:ascii="宋体" w:eastAsia="宋体" w:hAnsi="宋体" w:hint="eastAsia"/>
                <w:sz w:val="21"/>
                <w:szCs w:val="21"/>
              </w:rPr>
              <w:t>董事会秘书顾钦杭先生</w:t>
            </w:r>
          </w:p>
        </w:tc>
      </w:tr>
      <w:tr w:rsidR="00BE3855" w:rsidRPr="00602296" w14:paraId="2F92E874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DDCA" w14:textId="0F33DEEA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投资者关系活动主要内容介绍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938B9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一、介绍公司2024年前三季度总体经营情况</w:t>
            </w:r>
          </w:p>
          <w:p w14:paraId="50C1B660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今年以来，世界经济温和复苏，外部需求有所改善，同时公司着力推进在手新客户、新渠道、新项目加快放量，经营业绩保持持续较快增长。</w:t>
            </w:r>
          </w:p>
          <w:p w14:paraId="327E4EF1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（一）2</w:t>
            </w: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t>024</w:t>
            </w: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年前三季度业绩情况</w:t>
            </w:r>
          </w:p>
          <w:p w14:paraId="32A74872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1、主要财务数据：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024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年前三季度，公司实现销售收入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33.90亿元，同比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增长3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5.58%；实现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归母净利润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2.25亿元，同比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增长6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.46%，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扣非后归母净利润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.24亿元，同比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增长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14.85%。</w:t>
            </w:r>
          </w:p>
          <w:p w14:paraId="56930F89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第三季度，公司实现销售收入1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3.38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亿元，同比增长3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8.79%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；实现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归母净利润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,849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万元，同比增长4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2.29%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扣非后归母净利润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9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,821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万元，同比增长3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6.86%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62C7D79B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2、销售收入：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今年以来公司销售收入实现较快增长，既得益于β层面的改善，但更多得益于α层面的优势。从β层面看，今年以来世界经济温和复苏，外部需求有所改善，1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-9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月中国办公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椅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出口额同比增长9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.33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%；从α角度看，公司着力推进新客户、新渠道、新产品落地，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多个重要渠道和大客户订单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持续放量，贡献较大业务增量</w:t>
            </w:r>
            <w:bookmarkStart w:id="0" w:name="_Hlk180945043"/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，同时老客户随着份额提升也有不小增长</w:t>
            </w:r>
            <w:bookmarkEnd w:id="0"/>
            <w:r w:rsidRPr="00C90E05">
              <w:rPr>
                <w:rFonts w:ascii="宋体" w:eastAsia="宋体" w:hAnsi="宋体" w:hint="eastAsia"/>
                <w:sz w:val="21"/>
                <w:szCs w:val="21"/>
              </w:rPr>
              <w:t>。</w:t>
            </w:r>
          </w:p>
          <w:p w14:paraId="27A7312C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分季度看，三个季度的销售收入保持环比增长的较好态势。尽管下半年以来行业增速有所下调，但公司得益于自身新客户、新渠道、新产品等α优势，第三季度销售收入达到1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3.38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亿元，环比二季度继续增长1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1.90%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，实现单季度销售收入的历史新高，呈现出较好的增长势头。</w:t>
            </w:r>
          </w:p>
          <w:p w14:paraId="541632FC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3、毛利率：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前三季度毛利率为2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2.68%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，与上年同期基本持平。</w:t>
            </w:r>
          </w:p>
          <w:p w14:paraId="72AECAC1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4、净利率：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前三季度归母净利率为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6.63%，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扣非后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归母净利率为6.60%，较去年同期有所下降，主要原因系去年同期有大额政府补助及汇兑收益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，如果剔除上述因素影响，今年前三季度归母净利率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和扣非后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归母净利率与去年同期基本持平。</w:t>
            </w:r>
          </w:p>
          <w:p w14:paraId="36A54CD1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分季度看，第三季度归母净利率为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7.36%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、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扣非后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归母净利率为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7.34%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，环比二季度继续提升。</w:t>
            </w:r>
          </w:p>
          <w:p w14:paraId="7E80CDC1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此外，要特别说明的是，公司在业务拓展上正在布局战略高度上的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资源投入，聚焦主业，拓宽渠道，努力实现内外销业务又好又快发展。公司战略性投入自主品牌建设和发展新业务（例如升降桌业务、罗马尼亚基地等新项目），在短期内对净利率有一定影响。如果不做这样的战略投入，盈利表现会更好，但公司着眼于长远考虑战略性投入这些新业务，而这些投入很多是前置性投入，经过前面几年的培育，这些新业务正在逐步释放业务增量，盈利情况也在逐步改善。</w:t>
            </w:r>
          </w:p>
          <w:p w14:paraId="2E627188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5、销售费用率：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前三季度销售费用率为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6.57%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，较去年同期提高0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.41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个百分点，但销售费用率呈逐季度优化趋势。销售费用增长主要系战略性投入自主品牌建设，包括美国大商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超渠道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和国内外电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商渠道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的营销费用投入。随着下半年销售旺季的到来，上述投入正在转化为实际销售收入，从第三季度收入环比增长及销售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费用率环比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下降可以得到印证。</w:t>
            </w:r>
          </w:p>
          <w:p w14:paraId="11AA312C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6、管理费用率：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前三季度管理费用率为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4.82%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，较去年同期下降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0.30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个百分点，且管理费用率呈逐季度改善趋势。随着销售规模扩大，规模效应持续显现，管理费用率持续优化</w:t>
            </w:r>
            <w:r w:rsidRPr="00C90E05">
              <w:rPr>
                <w:rFonts w:ascii="宋体" w:eastAsia="宋体" w:hAnsi="宋体" w:hint="eastAsia"/>
                <w:i/>
                <w:iCs/>
                <w:sz w:val="21"/>
                <w:szCs w:val="21"/>
              </w:rPr>
              <w:t>。</w:t>
            </w:r>
          </w:p>
          <w:p w14:paraId="492D1264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（二）内外销业务发展情况</w:t>
            </w:r>
          </w:p>
          <w:p w14:paraId="61276303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i/>
                <w:i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1、从外销方面看：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今年以来，着力推进在手新客户、新渠道、新产品落地，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多个重要渠道和大客户订单快速爬坡，贡献较大业务增量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。同时，随着国际贸易形势变化，客户对海外产能的需求不断增加，公司进一步加快海外基地建设，越南基地多个新品类、新客户、新业务顺利落地并加快放量，为公司业绩增长贡献了较大增量；目前公司对美国的大部分业务都已在越南生产出货。罗马尼亚基地加快新品导入和产能爬坡，接下去也将扩建产能，未来几年罗马尼亚基地也有望持续贡献业绩增量。</w:t>
            </w:r>
          </w:p>
          <w:p w14:paraId="3F0E5E61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2、从内销方面看：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今年以来，公司继续围绕产品、营销、渠道三方面协同发力，加快发展国内业务、打造自主品牌。</w:t>
            </w:r>
          </w:p>
          <w:p w14:paraId="2547857C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在产品方面，围绕“撑腰”价值锚点，持续做好产品创新，不断推出旗舰产品，目前Flow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 xml:space="preserve"> 550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、Flow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 xml:space="preserve"> 360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等旗舰产品的销售情况较好，有效助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推公司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品牌打造。</w:t>
            </w:r>
          </w:p>
          <w:p w14:paraId="43D89C25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lastRenderedPageBreak/>
              <w:t>在营销方面，贯彻“旗舰爆款”的营销策略，通过抖音、小红书、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B站、知乎等平台持续进行内容营销和话题营销，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助推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旗舰新品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商业化成功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；同时，优化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营销费用的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投放结构、提高投放效率，有效提升品牌影响力。</w:t>
            </w:r>
          </w:p>
          <w:p w14:paraId="67EB16D3" w14:textId="77777777" w:rsidR="00BE3855" w:rsidRPr="00C90E05" w:rsidRDefault="00BE3855" w:rsidP="009E0F58">
            <w:pPr>
              <w:spacing w:line="480" w:lineRule="exact"/>
              <w:ind w:firstLine="420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sz w:val="21"/>
                <w:szCs w:val="21"/>
              </w:rPr>
              <w:t>在渠道建设方面，线上线下加快布局，线上聚焦天猫、京东、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抖音三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大平台，进一步提高精细化运营水平，销售收入和品牌知名度持续提升；线下加快工程、直营、零售等渠道建设，在继续做大2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B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业务的同时，大力发展2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C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业务，进一步拓宽品牌产品线下销售渠道。</w:t>
            </w:r>
          </w:p>
          <w:p w14:paraId="40D77F42" w14:textId="77777777" w:rsidR="00BE385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  <w:p w14:paraId="2639E251" w14:textId="77777777" w:rsidR="00BE3855" w:rsidRPr="00C90E05" w:rsidRDefault="00BE3855" w:rsidP="009E0F58">
            <w:pPr>
              <w:spacing w:line="480" w:lineRule="exact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二、投资者问答</w:t>
            </w:r>
          </w:p>
          <w:p w14:paraId="15AC0104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szCs w:val="21"/>
              </w:rPr>
            </w:pPr>
            <w:r w:rsidRPr="00C90E05">
              <w:rPr>
                <w:rFonts w:ascii="宋体" w:hAnsi="宋体" w:hint="eastAsia"/>
                <w:szCs w:val="21"/>
              </w:rPr>
              <w:t>公司</w:t>
            </w:r>
            <w:r w:rsidRPr="00C90E05">
              <w:rPr>
                <w:rFonts w:ascii="宋体" w:hAnsi="宋体"/>
                <w:szCs w:val="21"/>
              </w:rPr>
              <w:t>对相关问题进行了梳理，主要问题及答复如下：</w:t>
            </w:r>
          </w:p>
          <w:p w14:paraId="02AFA3CA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Q：目前美国市场情况及展望？</w:t>
            </w:r>
          </w:p>
          <w:p w14:paraId="272B2BBD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总体来看，目前美国家具类终端需求保持平稳并呈现边际改善趋势。可以关注以下几个方面：（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1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）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美国降息有望提振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家具等耐用品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消费。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（2）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从美国官方公布的相关数据看，今年二三季度以来，美国家具类零售额总体呈现边际改善趋势。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（3）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美国一些家具类上市公司近期披露的季报显示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其订单额有所增长，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对于四季度预期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有所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改善。</w:t>
            </w:r>
          </w:p>
          <w:p w14:paraId="3E39C3B6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Q：海外基地扩张进度及效率提升情况？</w:t>
            </w:r>
          </w:p>
          <w:p w14:paraId="4915E3A0" w14:textId="77777777" w:rsidR="00BE3855" w:rsidRPr="00C90E05" w:rsidRDefault="00BE3855" w:rsidP="009E0F58">
            <w:pPr>
              <w:pStyle w:val="a3"/>
              <w:spacing w:line="440" w:lineRule="exact"/>
              <w:ind w:firstLine="422"/>
              <w:rPr>
                <w:rFonts w:ascii="宋体" w:hAnsi="宋体"/>
                <w:szCs w:val="21"/>
              </w:rPr>
            </w:pPr>
            <w:r w:rsidRPr="00C90E05">
              <w:rPr>
                <w:rFonts w:ascii="宋体" w:hAnsi="宋体"/>
                <w:b/>
                <w:bCs/>
                <w:szCs w:val="21"/>
              </w:rPr>
              <w:t>A：</w:t>
            </w:r>
            <w:r w:rsidRPr="00C90E05">
              <w:rPr>
                <w:rFonts w:ascii="宋体" w:hAnsi="宋体" w:hint="eastAsia"/>
                <w:szCs w:val="21"/>
              </w:rPr>
              <w:t>目前公司有越南和罗马尼亚两大海外基地。</w:t>
            </w:r>
          </w:p>
          <w:p w14:paraId="67CA480A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szCs w:val="21"/>
              </w:rPr>
            </w:pPr>
            <w:r w:rsidRPr="00C90E05">
              <w:rPr>
                <w:rFonts w:ascii="宋体" w:hAnsi="宋体" w:hint="eastAsia"/>
                <w:szCs w:val="21"/>
              </w:rPr>
              <w:t>越南基地：公司于2018年在行业内率先“走出去”投资建设越南生产基地，经过数年建设已在客户资源、产能规模、本地化供应链、人员素质、技术工艺等方面奠定了坚实基础，目前公司对</w:t>
            </w:r>
            <w:proofErr w:type="gramStart"/>
            <w:r w:rsidRPr="00C90E05">
              <w:rPr>
                <w:rFonts w:ascii="宋体" w:hAnsi="宋体" w:hint="eastAsia"/>
                <w:szCs w:val="21"/>
              </w:rPr>
              <w:t>美业务</w:t>
            </w:r>
            <w:proofErr w:type="gramEnd"/>
            <w:r w:rsidRPr="00C90E05">
              <w:rPr>
                <w:rFonts w:ascii="宋体" w:hAnsi="宋体" w:hint="eastAsia"/>
                <w:szCs w:val="21"/>
              </w:rPr>
              <w:t>已大部分实现在越南生产出货。公司正在继续推进越南基地产能建设，第三期越南生产基地第一批厂房正在建设中，后续产能建设会根据订单情况、国际贸易格局变化和订单转移趋势进行布局，因此公司越南基地的产能弹性较大。</w:t>
            </w:r>
          </w:p>
          <w:p w14:paraId="563A9C72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szCs w:val="21"/>
              </w:rPr>
            </w:pPr>
            <w:r w:rsidRPr="00C90E05">
              <w:rPr>
                <w:rFonts w:ascii="宋体" w:hAnsi="宋体" w:hint="eastAsia"/>
                <w:szCs w:val="21"/>
              </w:rPr>
              <w:t>回顾过去六年越南基地的发展历程，主要有以下工作重心：（1）产能建设；（2）客户拓展、品类拓展，今年以来越南基地的增长就得益于多个新客户、新品类、新业务顺利落地并加快放量；（3）管理优化，持续推进精益生产、库存优化、效率提升等；（4）本地化供应链建设及垂</w:t>
            </w:r>
            <w:r w:rsidRPr="00C90E05">
              <w:rPr>
                <w:rFonts w:ascii="宋体" w:hAnsi="宋体" w:hint="eastAsia"/>
                <w:szCs w:val="21"/>
              </w:rPr>
              <w:lastRenderedPageBreak/>
              <w:t>直整合，已建立完整的垂直整合制造能力（包括冲压、焊接、涂装、注塑、发泡等）；（5）本地化管理团队建设；（6）制造能力和工艺水平持续提升，不断提高承接更高技术工艺要求产品的能力，助力拓展产品线和客户群。上述工作使公司越南基地的客户资源和经营效率持续提升，经营业绩持续向好，后续公司越南基地也将继续在产能建设、客户拓展、管理优化、本地化供应链建设等方面持续提升，不断提高竞争优势。</w:t>
            </w:r>
          </w:p>
          <w:p w14:paraId="2190A213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b/>
                <w:bCs/>
                <w:szCs w:val="21"/>
              </w:rPr>
            </w:pPr>
            <w:r w:rsidRPr="00C90E05">
              <w:rPr>
                <w:rFonts w:ascii="宋体" w:hAnsi="宋体" w:hint="eastAsia"/>
                <w:szCs w:val="21"/>
              </w:rPr>
              <w:t>罗马尼亚基地：公司罗马尼亚基地于2023年上半年实现投产出货，今年以来加快新产品导入和产能建设，随着收入规模扩大，经营情况持续改善，接下去也将扩建产能，未来几年罗马尼亚基地也有望持续贡献业绩增量。</w:t>
            </w:r>
          </w:p>
          <w:p w14:paraId="44A67284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Q：公司在外销新市场新客户拓展方面的规划？</w:t>
            </w:r>
          </w:p>
          <w:p w14:paraId="408413F6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公司将持续深耕外销基本盘，坚持“数一数二”市场战略不动摇，在持续深耕大客户的基础上，加强对G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DP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前3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0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大国家及其重点客户的洞察和开拓力度，梳理目标客户清单，逐一建立联系并进行拜访。同时，我们正在大力推进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销售组织“走出去”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 xml:space="preserve"> 贴近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重点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市场布局销售办事处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加快开拓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“一带一路”等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新兴市场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，这些都有望贡献业绩增量。</w:t>
            </w:r>
          </w:p>
          <w:p w14:paraId="25FE8E53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Q：美国大客户团队对公司业绩的贡献及后续展望？</w:t>
            </w:r>
          </w:p>
          <w:p w14:paraId="31A6C458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去年公司成建制引入成熟的海外销售团队，主攻美国大商超渠道，为公司开拓了多个重要渠道和大客户，今年以来贡献了可观的业绩增量，后续有望在现有客户的份额提升以及在新的渠道、品类和区域市场等维度进一步打开增长空间。</w:t>
            </w:r>
          </w:p>
          <w:p w14:paraId="65C734AA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Q：内销业务发展情况及新品推出计划？</w:t>
            </w:r>
            <w:r w:rsidRPr="00C90E05" w:rsidDel="00EB21EC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 xml:space="preserve"> </w:t>
            </w:r>
          </w:p>
          <w:p w14:paraId="263C4FA7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公司正加快推进从“外销和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ODM/OEM模式为主”向“内外销并重、自主品牌和ODM/OEM模式并重”的战略转型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，今年以来国内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自主品牌和自主渠道业务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继续保持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较快增长，销售收入和品牌知名度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持续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提升。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在新产品方面，公司深知打造品牌的前提是做好产品，公司将围绕“撑腰”价值锚点，持续做好产品创新，每年都规划推出旗舰产品，通过旗舰产品的成功有效助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推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品牌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打造。</w:t>
            </w:r>
          </w:p>
          <w:p w14:paraId="72C870BD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Q：公司升降</w:t>
            </w:r>
            <w:proofErr w:type="gramStart"/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桌产品力</w:t>
            </w:r>
            <w:proofErr w:type="gramEnd"/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及业务规划？</w:t>
            </w:r>
          </w:p>
          <w:p w14:paraId="0E99EFE9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lastRenderedPageBreak/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升降桌是公司近年来围绕“坐健康”推出的新品类，公司升降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桌产品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坚持差异化定位，持续开发家居和</w:t>
            </w:r>
            <w:proofErr w:type="gramStart"/>
            <w:r w:rsidRPr="00C90E05">
              <w:rPr>
                <w:rFonts w:ascii="宋体" w:eastAsia="宋体" w:hAnsi="宋体" w:hint="eastAsia"/>
                <w:sz w:val="21"/>
                <w:szCs w:val="21"/>
              </w:rPr>
              <w:t>电竞风格</w:t>
            </w:r>
            <w:proofErr w:type="gramEnd"/>
            <w:r w:rsidRPr="00C90E05">
              <w:rPr>
                <w:rFonts w:ascii="宋体" w:eastAsia="宋体" w:hAnsi="宋体" w:hint="eastAsia"/>
                <w:sz w:val="21"/>
                <w:szCs w:val="21"/>
              </w:rPr>
              <w:t>升降桌，产品优势体现在细节精致、安静升降、稳定不晃、操作和安装便捷等，为消费者提供卓越的使用体验；在生产制造方面，大量采用自动化生产设备和高精密度的设计要求，确保产品的稳定性和品质的一致性。</w:t>
            </w:r>
            <w:r w:rsidRPr="00C90E05">
              <w:rPr>
                <w:rFonts w:ascii="宋体" w:eastAsia="宋体" w:hAnsi="宋体"/>
                <w:sz w:val="21"/>
                <w:szCs w:val="21"/>
              </w:rPr>
              <w:t>从公司规划看，升降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桌未来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5年将发展成为公司第三大品类，因此在积极投入资源加快培育。公司在升降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桌行业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虽然是后来者，但升降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桌与办公椅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品类协同，在客户资源、技术工艺等方面具有较多优势，因此有信心做大</w:t>
            </w:r>
            <w:proofErr w:type="gramStart"/>
            <w:r w:rsidRPr="00C90E05">
              <w:rPr>
                <w:rFonts w:ascii="宋体" w:eastAsia="宋体" w:hAnsi="宋体"/>
                <w:sz w:val="21"/>
                <w:szCs w:val="21"/>
              </w:rPr>
              <w:t>做优这个</w:t>
            </w:r>
            <w:proofErr w:type="gramEnd"/>
            <w:r w:rsidRPr="00C90E05">
              <w:rPr>
                <w:rFonts w:ascii="宋体" w:eastAsia="宋体" w:hAnsi="宋体"/>
                <w:sz w:val="21"/>
                <w:szCs w:val="21"/>
              </w:rPr>
              <w:t>品类。</w:t>
            </w:r>
          </w:p>
          <w:p w14:paraId="42956AD4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  <w:r w:rsidRPr="00C90E05"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Q：从客户层面来看，新老客户增量贡献如何？这两年公司在新客户拓展方面成效显著的原因？</w:t>
            </w:r>
          </w:p>
          <w:p w14:paraId="79300ECB" w14:textId="77777777" w:rsidR="00BE3855" w:rsidRPr="00C90E05" w:rsidRDefault="00BE3855" w:rsidP="009E0F58">
            <w:pPr>
              <w:spacing w:line="360" w:lineRule="auto"/>
              <w:ind w:firstLine="422"/>
              <w:rPr>
                <w:rFonts w:ascii="宋体" w:eastAsia="宋体" w:hAnsi="宋体"/>
                <w:sz w:val="21"/>
                <w:szCs w:val="21"/>
              </w:rPr>
            </w:pPr>
            <w:r w:rsidRPr="00C90E05">
              <w:rPr>
                <w:rFonts w:ascii="宋体" w:eastAsia="宋体" w:hAnsi="宋体"/>
                <w:b/>
                <w:bCs/>
                <w:sz w:val="21"/>
                <w:szCs w:val="21"/>
              </w:rPr>
              <w:t>A：</w:t>
            </w:r>
            <w:r w:rsidRPr="00C90E05">
              <w:rPr>
                <w:rFonts w:ascii="宋体" w:eastAsia="宋体" w:hAnsi="宋体" w:hint="eastAsia"/>
                <w:sz w:val="21"/>
                <w:szCs w:val="21"/>
              </w:rPr>
              <w:t>收入增量约一半来自于新客户，老客户随着份额提升亦有增长。</w:t>
            </w:r>
          </w:p>
          <w:p w14:paraId="43B48266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szCs w:val="21"/>
              </w:rPr>
            </w:pPr>
            <w:r w:rsidRPr="00C90E05">
              <w:rPr>
                <w:rFonts w:ascii="宋体" w:hAnsi="宋体" w:hint="eastAsia"/>
                <w:szCs w:val="21"/>
              </w:rPr>
              <w:t>在新客户拓展方面，公司坚持“数一数二”市场战略不动摇，运用大客户价值营销方法论，深度洞察核心客户需求，积极发挥公司在研发、设计、制造、海外基地等方面的优势；同时，推进销售组织“本地化”和“走出去”，更好地了解市场和客户信息，加快获取和转化商机。从客户角度看，近年来客户对供应</w:t>
            </w:r>
            <w:proofErr w:type="gramStart"/>
            <w:r w:rsidRPr="00C90E05">
              <w:rPr>
                <w:rFonts w:ascii="宋体" w:hAnsi="宋体" w:hint="eastAsia"/>
                <w:szCs w:val="21"/>
              </w:rPr>
              <w:t>链安全</w:t>
            </w:r>
            <w:proofErr w:type="gramEnd"/>
            <w:r w:rsidRPr="00C90E05">
              <w:rPr>
                <w:rFonts w:ascii="宋体" w:hAnsi="宋体" w:hint="eastAsia"/>
                <w:szCs w:val="21"/>
              </w:rPr>
              <w:t>的重视程度日益提升，加快推进供应</w:t>
            </w:r>
            <w:proofErr w:type="gramStart"/>
            <w:r w:rsidRPr="00C90E05">
              <w:rPr>
                <w:rFonts w:ascii="宋体" w:hAnsi="宋体" w:hint="eastAsia"/>
                <w:szCs w:val="21"/>
              </w:rPr>
              <w:t>链全球</w:t>
            </w:r>
            <w:proofErr w:type="gramEnd"/>
            <w:r w:rsidRPr="00C90E05">
              <w:rPr>
                <w:rFonts w:ascii="宋体" w:hAnsi="宋体" w:hint="eastAsia"/>
                <w:szCs w:val="21"/>
              </w:rPr>
              <w:t>布局，进一步提升对龙头制造企业的采购份额，在此背景下公司在海外产能方面的先发优势更容易得到客户青睐。</w:t>
            </w:r>
          </w:p>
          <w:p w14:paraId="7EFB583F" w14:textId="77777777" w:rsidR="00BE3855" w:rsidRPr="00C90E05" w:rsidRDefault="00BE3855" w:rsidP="009E0F58">
            <w:pPr>
              <w:pStyle w:val="a3"/>
              <w:spacing w:line="440" w:lineRule="exact"/>
              <w:rPr>
                <w:rFonts w:ascii="宋体" w:hAnsi="宋体"/>
                <w:szCs w:val="21"/>
              </w:rPr>
            </w:pPr>
          </w:p>
          <w:p w14:paraId="0B7556E3" w14:textId="77777777" w:rsidR="00BE3855" w:rsidRPr="00C90E05" w:rsidRDefault="00BE3855" w:rsidP="009E0F58">
            <w:pPr>
              <w:spacing w:line="440" w:lineRule="exact"/>
              <w:ind w:firstLine="420"/>
              <w:rPr>
                <w:rFonts w:ascii="宋体" w:eastAsia="宋体" w:hAnsi="宋体" w:cs="宋体"/>
                <w:iCs/>
                <w:color w:val="FF0000"/>
                <w:sz w:val="21"/>
                <w:szCs w:val="21"/>
              </w:rPr>
            </w:pPr>
            <w:r w:rsidRPr="00C90E05">
              <w:rPr>
                <w:rFonts w:ascii="宋体" w:eastAsia="宋体" w:hAnsi="宋体" w:cs="宋体" w:hint="eastAsia"/>
                <w:iCs/>
                <w:sz w:val="21"/>
                <w:szCs w:val="21"/>
              </w:rPr>
              <w:t>注：本次投资者活动如涉及对行业的预测、公司发展战略规划等相关内容，不能视作公司或管理层对行业、公司发展或业绩的承诺和保证，敬请广大投资者注意投资风险。</w:t>
            </w:r>
          </w:p>
        </w:tc>
      </w:tr>
      <w:tr w:rsidR="00BE3855" w:rsidRPr="00602296" w14:paraId="442AECCF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C8781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lastRenderedPageBreak/>
              <w:t>其他事项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71FC7" w14:textId="77777777" w:rsidR="00BE3855" w:rsidRPr="00602296" w:rsidRDefault="00BE3855" w:rsidP="009E0F58">
            <w:pPr>
              <w:pStyle w:val="a3"/>
              <w:spacing w:line="360" w:lineRule="auto"/>
              <w:ind w:firstLineChars="0" w:firstLine="0"/>
              <w:rPr>
                <w:rFonts w:ascii="宋体" w:hAnsi="宋体"/>
                <w:szCs w:val="21"/>
              </w:rPr>
            </w:pPr>
            <w:r w:rsidRPr="00602296">
              <w:rPr>
                <w:rFonts w:ascii="宋体" w:hAnsi="宋体" w:hint="eastAsia"/>
                <w:szCs w:val="21"/>
              </w:rPr>
              <w:t>无</w:t>
            </w:r>
          </w:p>
        </w:tc>
      </w:tr>
      <w:tr w:rsidR="00BE3855" w:rsidRPr="00602296" w14:paraId="009EC0FC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BA108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附件清单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D95F5" w14:textId="77777777" w:rsidR="00BE3855" w:rsidRPr="00602296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无</w:t>
            </w:r>
          </w:p>
        </w:tc>
      </w:tr>
      <w:tr w:rsidR="00BE3855" w:rsidRPr="00DA0A6A" w14:paraId="2376C93E" w14:textId="77777777" w:rsidTr="009E0F58">
        <w:trPr>
          <w:jc w:val="center"/>
        </w:trPr>
        <w:tc>
          <w:tcPr>
            <w:tcW w:w="9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E2304" w14:textId="77777777" w:rsidR="00BE3855" w:rsidRPr="00602296" w:rsidRDefault="00BE3855" w:rsidP="009E0F58">
            <w:pPr>
              <w:spacing w:line="360" w:lineRule="auto"/>
              <w:ind w:firstLineChars="0" w:firstLine="0"/>
              <w:jc w:val="center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日期</w:t>
            </w:r>
          </w:p>
        </w:tc>
        <w:tc>
          <w:tcPr>
            <w:tcW w:w="40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23561" w14:textId="77777777" w:rsidR="00BE3855" w:rsidRPr="00DA0A6A" w:rsidRDefault="00BE3855" w:rsidP="009E0F58">
            <w:pPr>
              <w:spacing w:line="360" w:lineRule="auto"/>
              <w:ind w:firstLineChars="0" w:firstLine="0"/>
              <w:rPr>
                <w:rFonts w:ascii="宋体" w:eastAsia="宋体" w:hAnsi="宋体" w:cs="宋体"/>
                <w:bCs/>
                <w:iCs/>
                <w:sz w:val="21"/>
                <w:szCs w:val="21"/>
              </w:rPr>
            </w:pP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2</w:t>
            </w:r>
            <w:r w:rsidRPr="00602296"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024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年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10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月</w:t>
            </w:r>
            <w:r>
              <w:rPr>
                <w:rFonts w:ascii="宋体" w:eastAsia="宋体" w:hAnsi="宋体" w:cs="宋体"/>
                <w:bCs/>
                <w:iCs/>
                <w:sz w:val="21"/>
                <w:szCs w:val="21"/>
              </w:rPr>
              <w:t>26</w:t>
            </w:r>
            <w:r w:rsidRPr="00602296">
              <w:rPr>
                <w:rFonts w:ascii="宋体" w:eastAsia="宋体" w:hAnsi="宋体" w:cs="宋体" w:hint="eastAsia"/>
                <w:bCs/>
                <w:iCs/>
                <w:sz w:val="21"/>
                <w:szCs w:val="21"/>
              </w:rPr>
              <w:t>日</w:t>
            </w:r>
          </w:p>
        </w:tc>
      </w:tr>
    </w:tbl>
    <w:p w14:paraId="35F50A0A" w14:textId="77777777" w:rsidR="00BE3855" w:rsidRDefault="00BE3855">
      <w:pPr>
        <w:ind w:firstLine="640"/>
      </w:pPr>
    </w:p>
    <w:sectPr w:rsidR="00BE38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55"/>
    <w:rsid w:val="00176C93"/>
    <w:rsid w:val="005D688D"/>
    <w:rsid w:val="005E2787"/>
    <w:rsid w:val="005F5537"/>
    <w:rsid w:val="0080594E"/>
    <w:rsid w:val="009B4A01"/>
    <w:rsid w:val="00BE3855"/>
    <w:rsid w:val="00CD08EF"/>
    <w:rsid w:val="00D52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C0E48"/>
  <w15:chartTrackingRefBased/>
  <w15:docId w15:val="{7A61DA77-9FD2-4656-B798-5CC404C1F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3855"/>
    <w:pPr>
      <w:widowControl w:val="0"/>
      <w:spacing w:line="560" w:lineRule="exact"/>
      <w:ind w:firstLineChars="200" w:firstLine="200"/>
      <w:jc w:val="both"/>
    </w:pPr>
    <w:rPr>
      <w:rFonts w:ascii="Times New Roman" w:eastAsia="仿宋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855"/>
    <w:pPr>
      <w:spacing w:line="240" w:lineRule="auto"/>
      <w:ind w:firstLine="420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682</Words>
  <Characters>3888</Characters>
  <Application>Microsoft Office Word</Application>
  <DocSecurity>0</DocSecurity>
  <Lines>32</Lines>
  <Paragraphs>9</Paragraphs>
  <ScaleCrop>false</ScaleCrop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UE</dc:creator>
  <cp:keywords/>
  <dc:description/>
  <cp:lastModifiedBy>UE</cp:lastModifiedBy>
  <cp:revision>2</cp:revision>
  <dcterms:created xsi:type="dcterms:W3CDTF">2024-10-27T14:56:00Z</dcterms:created>
  <dcterms:modified xsi:type="dcterms:W3CDTF">2024-10-27T15:05:00Z</dcterms:modified>
</cp:coreProperties>
</file>