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84E09" w14:textId="04EAC885" w:rsidR="00595644" w:rsidRPr="001D2AAA" w:rsidRDefault="00E7641A" w:rsidP="001D2AAA">
      <w:pPr>
        <w:spacing w:after="0" w:line="240" w:lineRule="auto"/>
        <w:jc w:val="left"/>
        <w:rPr>
          <w:rFonts w:asciiTheme="minorEastAsia" w:hAnsiTheme="minorEastAsia" w:cs="Times New Roman"/>
          <w:b/>
          <w:spacing w:val="-7"/>
          <w:szCs w:val="21"/>
        </w:rPr>
      </w:pP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证券代码：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>603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408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                             </w:t>
      </w:r>
      <w:r w:rsidR="001D2AAA"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</w:t>
      </w: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证券简称：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建霖家居</w:t>
      </w:r>
    </w:p>
    <w:p w14:paraId="76B67433" w14:textId="77777777" w:rsidR="00595644" w:rsidRPr="001D2AAA" w:rsidRDefault="00F223E1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 w:hint="eastAsia"/>
          <w:b/>
          <w:spacing w:val="-7"/>
          <w:sz w:val="28"/>
          <w:szCs w:val="28"/>
        </w:rPr>
        <w:t>厦门建霖健康家居</w:t>
      </w:r>
      <w:r w:rsidR="00E7641A"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股份有限公司</w:t>
      </w:r>
    </w:p>
    <w:p w14:paraId="5094CCED" w14:textId="77777777" w:rsidR="00595644" w:rsidRPr="001D2AAA" w:rsidRDefault="00E7641A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投资者关系活动记录表</w:t>
      </w:r>
    </w:p>
    <w:p w14:paraId="744146A8" w14:textId="4CC9C2FF" w:rsidR="001D2AAA" w:rsidRPr="00130377" w:rsidRDefault="00E7641A" w:rsidP="00E4244E">
      <w:pPr>
        <w:spacing w:after="0" w:line="360" w:lineRule="exact"/>
        <w:ind w:firstLineChars="200" w:firstLine="420"/>
        <w:rPr>
          <w:rFonts w:asciiTheme="minorEastAsia" w:hAnsiTheme="minorEastAsia"/>
          <w:b/>
          <w:bCs/>
          <w:szCs w:val="21"/>
        </w:rPr>
      </w:pPr>
      <w:r w:rsidRPr="00E4244E">
        <w:rPr>
          <w:rFonts w:asciiTheme="minorEastAsia" w:hAnsiTheme="minorEastAsia" w:hint="eastAsia"/>
          <w:szCs w:val="21"/>
        </w:rPr>
        <w:t xml:space="preserve"> </w:t>
      </w:r>
      <w:r w:rsidRPr="00E4244E">
        <w:rPr>
          <w:rFonts w:asciiTheme="minorEastAsia" w:hAnsiTheme="minorEastAsia"/>
          <w:szCs w:val="21"/>
        </w:rPr>
        <w:t xml:space="preserve">                        </w:t>
      </w:r>
      <w:r w:rsidRPr="00E4244E">
        <w:rPr>
          <w:rFonts w:asciiTheme="minorEastAsia" w:hAnsiTheme="minorEastAsia" w:hint="eastAsia"/>
          <w:szCs w:val="21"/>
        </w:rPr>
        <w:t xml:space="preserve">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E4244E">
        <w:rPr>
          <w:rFonts w:asciiTheme="minorEastAsia" w:hAnsiTheme="minorEastAsia" w:hint="eastAsia"/>
          <w:szCs w:val="21"/>
        </w:rPr>
        <w:t xml:space="preserve">  </w:t>
      </w:r>
      <w:r w:rsidR="001D2AAA" w:rsidRPr="00E4244E">
        <w:rPr>
          <w:rFonts w:asciiTheme="minorEastAsia" w:hAnsiTheme="minorEastAsia"/>
          <w:szCs w:val="21"/>
        </w:rPr>
        <w:t xml:space="preserve">   </w:t>
      </w:r>
      <w:r w:rsidR="00E4244E">
        <w:rPr>
          <w:rFonts w:asciiTheme="minorEastAsia" w:hAnsiTheme="minorEastAsia"/>
          <w:szCs w:val="21"/>
        </w:rPr>
        <w:t xml:space="preserve">                          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130377">
        <w:rPr>
          <w:rFonts w:asciiTheme="minorEastAsia" w:hAnsiTheme="minorEastAsia" w:hint="eastAsia"/>
          <w:b/>
          <w:bCs/>
          <w:szCs w:val="21"/>
        </w:rPr>
        <w:t>编号：</w:t>
      </w:r>
      <w:r w:rsidR="00F223E1" w:rsidRPr="00130377">
        <w:rPr>
          <w:rFonts w:asciiTheme="minorEastAsia" w:hAnsiTheme="minorEastAsia" w:hint="eastAsia"/>
          <w:b/>
          <w:bCs/>
          <w:szCs w:val="21"/>
        </w:rPr>
        <w:t>202</w:t>
      </w:r>
      <w:r w:rsidR="00B84987">
        <w:rPr>
          <w:rFonts w:asciiTheme="minorEastAsia" w:hAnsiTheme="minorEastAsia"/>
          <w:b/>
          <w:bCs/>
          <w:szCs w:val="21"/>
        </w:rPr>
        <w:t>4</w:t>
      </w:r>
      <w:r w:rsidRPr="00130377">
        <w:rPr>
          <w:rFonts w:asciiTheme="minorEastAsia" w:hAnsiTheme="minorEastAsia" w:hint="eastAsia"/>
          <w:b/>
          <w:bCs/>
          <w:szCs w:val="21"/>
        </w:rPr>
        <w:t>-</w:t>
      </w:r>
      <w:r w:rsidR="00682B97" w:rsidRPr="00130377">
        <w:rPr>
          <w:rFonts w:asciiTheme="minorEastAsia" w:hAnsiTheme="minorEastAsia" w:hint="eastAsia"/>
          <w:b/>
          <w:bCs/>
          <w:szCs w:val="21"/>
        </w:rPr>
        <w:t>0</w:t>
      </w:r>
      <w:r w:rsidR="00682B97" w:rsidRPr="00130377">
        <w:rPr>
          <w:rFonts w:asciiTheme="minorEastAsia" w:hAnsiTheme="minorEastAsia"/>
          <w:b/>
          <w:bCs/>
          <w:szCs w:val="21"/>
        </w:rPr>
        <w:t>0</w:t>
      </w:r>
      <w:r w:rsidR="009B7599">
        <w:rPr>
          <w:rFonts w:asciiTheme="minorEastAsia" w:hAnsiTheme="minorEastAsia" w:hint="eastAsia"/>
          <w:b/>
          <w:bCs/>
          <w:szCs w:val="21"/>
        </w:rPr>
        <w:t>8</w:t>
      </w:r>
      <w:r w:rsidR="00682B97" w:rsidRPr="00130377">
        <w:rPr>
          <w:rFonts w:asciiTheme="minorEastAsia" w:hAnsiTheme="minorEastAsia"/>
          <w:b/>
          <w:bCs/>
          <w:szCs w:val="21"/>
        </w:rPr>
        <w:t xml:space="preserve">     </w:t>
      </w:r>
    </w:p>
    <w:tbl>
      <w:tblPr>
        <w:tblStyle w:val="ae"/>
        <w:tblpPr w:leftFromText="180" w:rightFromText="180" w:vertAnchor="text" w:tblpXSpec="center" w:tblpY="1"/>
        <w:tblOverlap w:val="never"/>
        <w:tblW w:w="8930" w:type="dxa"/>
        <w:tblLayout w:type="fixed"/>
        <w:tblLook w:val="04A0" w:firstRow="1" w:lastRow="0" w:firstColumn="1" w:lastColumn="0" w:noHBand="0" w:noVBand="1"/>
      </w:tblPr>
      <w:tblGrid>
        <w:gridCol w:w="1271"/>
        <w:gridCol w:w="7659"/>
      </w:tblGrid>
      <w:tr w:rsidR="00595644" w:rsidRPr="00E4244E" w14:paraId="2B1964D5" w14:textId="77777777" w:rsidTr="006B1862">
        <w:tc>
          <w:tcPr>
            <w:tcW w:w="1271" w:type="dxa"/>
            <w:vAlign w:val="center"/>
          </w:tcPr>
          <w:p w14:paraId="7CC74071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关系活动类别</w:t>
            </w:r>
          </w:p>
        </w:tc>
        <w:tc>
          <w:tcPr>
            <w:tcW w:w="7659" w:type="dxa"/>
          </w:tcPr>
          <w:p w14:paraId="2AE5DC59" w14:textId="262902D8" w:rsidR="00075429" w:rsidRDefault="00024653" w:rsidP="00075429">
            <w:pPr>
              <w:spacing w:after="0" w:line="36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="00E7641A" w:rsidRPr="00E4244E">
              <w:rPr>
                <w:rFonts w:asciiTheme="minorEastAsia" w:hAnsiTheme="minorEastAsia"/>
                <w:szCs w:val="21"/>
              </w:rPr>
              <w:t>特定对象调研</w:t>
            </w:r>
            <w:r w:rsidR="00E7641A" w:rsidRPr="00E4244E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C81833" w:rsidRPr="002E6AB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bCs/>
                <w:szCs w:val="21"/>
              </w:rPr>
              <w:t>券商策略会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</w:t>
            </w:r>
            <w:r w:rsidR="00E7641A" w:rsidRPr="002E6ABC">
              <w:rPr>
                <w:rFonts w:asciiTheme="minorEastAsia" w:hAnsiTheme="minorEastAsia" w:hint="eastAsia"/>
                <w:szCs w:val="21"/>
              </w:rPr>
              <w:t xml:space="preserve">□媒体采访   </w:t>
            </w:r>
            <w:r w:rsidR="00E7641A" w:rsidRPr="002E6ABC">
              <w:rPr>
                <w:rFonts w:asciiTheme="minorEastAsia" w:hAnsiTheme="minorEastAsia"/>
                <w:szCs w:val="21"/>
              </w:rPr>
              <w:t xml:space="preserve"> 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C81833" w:rsidRPr="002E6ABC">
              <w:rPr>
                <w:rFonts w:asciiTheme="minorEastAsia" w:hAnsiTheme="minorEastAsia" w:hint="eastAsia"/>
                <w:szCs w:val="21"/>
              </w:rPr>
              <w:t>□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>业绩说明会</w:t>
            </w:r>
            <w:r w:rsidR="00075429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bCs/>
                <w:szCs w:val="21"/>
              </w:rPr>
              <w:t xml:space="preserve">    </w:t>
            </w:r>
          </w:p>
          <w:p w14:paraId="6468FF5C" w14:textId="0C782D1B" w:rsidR="00595644" w:rsidRPr="001D2AAA" w:rsidRDefault="00E7641A" w:rsidP="00075429">
            <w:pPr>
              <w:spacing w:after="0"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 xml:space="preserve">□新闻发布会      </w:t>
            </w:r>
            <w:r w:rsidR="002945E9" w:rsidRPr="002E6ABC">
              <w:rPr>
                <w:rFonts w:asciiTheme="minorEastAsia" w:hAnsiTheme="minorEastAsia" w:hint="eastAsia"/>
                <w:szCs w:val="21"/>
              </w:rPr>
              <w:t>□</w:t>
            </w:r>
            <w:r w:rsidRPr="002E6ABC">
              <w:rPr>
                <w:rFonts w:asciiTheme="minorEastAsia" w:hAnsiTheme="minorEastAsia" w:hint="eastAsia"/>
                <w:szCs w:val="21"/>
              </w:rPr>
              <w:t>现</w:t>
            </w:r>
            <w:r w:rsidRPr="001D2AAA">
              <w:rPr>
                <w:rFonts w:asciiTheme="minorEastAsia" w:hAnsiTheme="minorEastAsia" w:hint="eastAsia"/>
                <w:szCs w:val="21"/>
              </w:rPr>
              <w:t>场参观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  </w:t>
            </w:r>
            <w:r w:rsidR="00C81833"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Pr="001D2AAA">
              <w:rPr>
                <w:rFonts w:asciiTheme="minorEastAsia" w:hAnsiTheme="minorEastAsia" w:hint="eastAsia"/>
                <w:szCs w:val="21"/>
              </w:rPr>
              <w:t>路演活动     □其他</w:t>
            </w:r>
          </w:p>
        </w:tc>
      </w:tr>
      <w:tr w:rsidR="00595644" w:rsidRPr="00E4244E" w14:paraId="3B68C5A3" w14:textId="77777777" w:rsidTr="006B1862">
        <w:tc>
          <w:tcPr>
            <w:tcW w:w="1271" w:type="dxa"/>
            <w:vAlign w:val="center"/>
          </w:tcPr>
          <w:p w14:paraId="083E1540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形式</w:t>
            </w:r>
          </w:p>
        </w:tc>
        <w:tc>
          <w:tcPr>
            <w:tcW w:w="7659" w:type="dxa"/>
          </w:tcPr>
          <w:p w14:paraId="50C1F1DF" w14:textId="5BA17FB8" w:rsidR="00595644" w:rsidRPr="00130377" w:rsidRDefault="00C81833" w:rsidP="00130377">
            <w:pPr>
              <w:spacing w:after="0" w:line="24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>□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现场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F51DFD"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="00E7641A" w:rsidRPr="002E6ABC">
              <w:rPr>
                <w:rFonts w:asciiTheme="minorEastAsia" w:hAnsiTheme="minorEastAsia"/>
                <w:szCs w:val="21"/>
              </w:rPr>
              <w:t>网上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075429" w:rsidRPr="002E6ABC">
              <w:rPr>
                <w:rFonts w:asciiTheme="minorEastAsia" w:hAnsiTheme="minorEastAsia" w:hint="eastAsia"/>
                <w:szCs w:val="21"/>
              </w:rPr>
              <w:t>√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电话会议</w:t>
            </w:r>
          </w:p>
        </w:tc>
      </w:tr>
      <w:tr w:rsidR="00595644" w:rsidRPr="00E4244E" w14:paraId="784293CE" w14:textId="77777777" w:rsidTr="006B1862">
        <w:tc>
          <w:tcPr>
            <w:tcW w:w="1271" w:type="dxa"/>
            <w:vAlign w:val="center"/>
          </w:tcPr>
          <w:p w14:paraId="2BA9ECBE" w14:textId="77777777" w:rsidR="006B1862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参与单位</w:t>
            </w:r>
          </w:p>
          <w:p w14:paraId="3D72DEF3" w14:textId="7DC93958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659" w:type="dxa"/>
          </w:tcPr>
          <w:p w14:paraId="7ADFD6DB" w14:textId="21ECF15F" w:rsidR="00DB0AA0" w:rsidRPr="00A672BF" w:rsidRDefault="00F84BEE" w:rsidP="00B23B86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F84BEE">
              <w:rPr>
                <w:rFonts w:asciiTheme="minorEastAsia" w:hAnsiTheme="minorEastAsia"/>
                <w:szCs w:val="21"/>
              </w:rPr>
              <w:t>Bin Yuan Capital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/>
                <w:szCs w:val="21"/>
              </w:rPr>
              <w:t>Point72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/>
                <w:szCs w:val="21"/>
              </w:rPr>
              <w:t>TrialAccount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安信基金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博道基金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博时基金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财信证券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成泉资本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东北证券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东方财富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东方资管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东证自营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峰境基金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国海证券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国联证券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海金投资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="00B23B86">
              <w:rPr>
                <w:rFonts w:asciiTheme="minorEastAsia" w:hAnsiTheme="minorEastAsia" w:hint="eastAsia"/>
                <w:szCs w:val="21"/>
              </w:rPr>
              <w:t>国盛证券、</w:t>
            </w:r>
            <w:r w:rsidRPr="00F84BEE">
              <w:rPr>
                <w:rFonts w:asciiTheme="minorEastAsia" w:hAnsiTheme="minorEastAsia" w:hint="eastAsia"/>
                <w:szCs w:val="21"/>
              </w:rPr>
              <w:t>恒越基金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华润元大基金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交银基金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民生通惠资产管理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农银人寿保险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三耕资产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上海保银私募基金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上海朴信投资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申万宏源证券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深圳博隆伟业私募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深圳亘泰投资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深圳红筹投资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泰康养老保险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泰信基金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天风证券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天治基金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无锡汇蠡投资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西部利得基金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新华资产管理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兴银基金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循远资产管理（上海）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易方达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永赢基金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云溪基金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长江养老保险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长江证券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招商基金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浙商证券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中国对外经济贸易信托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中国国际金融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中金资管</w:t>
            </w:r>
            <w:r w:rsidR="00B23B86"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中泰证券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84BEE">
              <w:rPr>
                <w:rFonts w:asciiTheme="minorEastAsia" w:hAnsiTheme="minorEastAsia" w:hint="eastAsia"/>
                <w:szCs w:val="21"/>
              </w:rPr>
              <w:t>中银资管</w:t>
            </w:r>
          </w:p>
        </w:tc>
      </w:tr>
      <w:tr w:rsidR="00595644" w:rsidRPr="00E4244E" w14:paraId="71E5971E" w14:textId="77777777" w:rsidTr="006B1862">
        <w:tc>
          <w:tcPr>
            <w:tcW w:w="1271" w:type="dxa"/>
            <w:vAlign w:val="center"/>
          </w:tcPr>
          <w:p w14:paraId="2D2D369B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时间</w:t>
            </w:r>
          </w:p>
        </w:tc>
        <w:tc>
          <w:tcPr>
            <w:tcW w:w="7659" w:type="dxa"/>
          </w:tcPr>
          <w:p w14:paraId="3A949A05" w14:textId="0EBE85C8" w:rsidR="00595644" w:rsidRPr="001D2AAA" w:rsidRDefault="00682B97" w:rsidP="00EC2511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C81833">
              <w:rPr>
                <w:rFonts w:asciiTheme="minorEastAsia" w:hAnsiTheme="minorEastAsia"/>
                <w:szCs w:val="21"/>
              </w:rPr>
              <w:t>10</w:t>
            </w:r>
            <w:r w:rsidR="00075429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C81833">
              <w:rPr>
                <w:rFonts w:asciiTheme="minorEastAsia" w:hAnsiTheme="minorEastAsia"/>
                <w:szCs w:val="21"/>
              </w:rPr>
              <w:t>26</w:t>
            </w:r>
            <w:r w:rsidR="00075429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595644" w:rsidRPr="00E4244E" w14:paraId="58DB04C6" w14:textId="77777777" w:rsidTr="006B1862">
        <w:tc>
          <w:tcPr>
            <w:tcW w:w="1271" w:type="dxa"/>
            <w:vAlign w:val="center"/>
          </w:tcPr>
          <w:p w14:paraId="0FE349EB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地点</w:t>
            </w:r>
          </w:p>
        </w:tc>
        <w:tc>
          <w:tcPr>
            <w:tcW w:w="7659" w:type="dxa"/>
          </w:tcPr>
          <w:p w14:paraId="1D978521" w14:textId="44E92B4D" w:rsidR="00595644" w:rsidRPr="001D2AAA" w:rsidRDefault="005D7C5C" w:rsidP="00E246EC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线</w:t>
            </w:r>
            <w:r w:rsidR="00F84BEE">
              <w:rPr>
                <w:rFonts w:asciiTheme="minorEastAsia" w:hAnsiTheme="minorEastAsia" w:hint="eastAsia"/>
                <w:szCs w:val="21"/>
              </w:rPr>
              <w:t>上</w:t>
            </w:r>
          </w:p>
        </w:tc>
      </w:tr>
      <w:tr w:rsidR="00595644" w:rsidRPr="00E4244E" w14:paraId="5105DAA7" w14:textId="77777777" w:rsidTr="00CC6CC4">
        <w:tc>
          <w:tcPr>
            <w:tcW w:w="1271" w:type="dxa"/>
            <w:vAlign w:val="center"/>
          </w:tcPr>
          <w:p w14:paraId="65530C33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上市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公司接待人员姓名</w:t>
            </w:r>
          </w:p>
        </w:tc>
        <w:tc>
          <w:tcPr>
            <w:tcW w:w="7659" w:type="dxa"/>
            <w:vAlign w:val="center"/>
          </w:tcPr>
          <w:p w14:paraId="3E07EC6D" w14:textId="102374CD" w:rsidR="00E00685" w:rsidRPr="0012042F" w:rsidRDefault="0012042F" w:rsidP="00CC6CC4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12042F">
              <w:rPr>
                <w:rFonts w:asciiTheme="minorEastAsia" w:hAnsiTheme="minorEastAsia" w:hint="eastAsia"/>
                <w:szCs w:val="21"/>
              </w:rPr>
              <w:t>董事会秘书 许士伟</w:t>
            </w:r>
            <w:r w:rsidR="002E6ABC">
              <w:rPr>
                <w:rFonts w:asciiTheme="minorEastAsia" w:hAnsiTheme="minorEastAsia" w:hint="eastAsia"/>
                <w:szCs w:val="21"/>
              </w:rPr>
              <w:t>、证券事务代表 程龙</w:t>
            </w:r>
          </w:p>
        </w:tc>
      </w:tr>
      <w:tr w:rsidR="00595644" w:rsidRPr="008D5CBA" w14:paraId="2918BE23" w14:textId="77777777" w:rsidTr="006B1862">
        <w:trPr>
          <w:trHeight w:val="64"/>
        </w:trPr>
        <w:tc>
          <w:tcPr>
            <w:tcW w:w="1271" w:type="dxa"/>
            <w:vAlign w:val="center"/>
          </w:tcPr>
          <w:p w14:paraId="2D3F704E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关系活动主要内容介绍</w:t>
            </w:r>
          </w:p>
        </w:tc>
        <w:tc>
          <w:tcPr>
            <w:tcW w:w="7659" w:type="dxa"/>
          </w:tcPr>
          <w:p w14:paraId="0A95A6EF" w14:textId="14EC41C6" w:rsidR="008A7461" w:rsidRDefault="008A7461" w:rsidP="00046DC7">
            <w:pPr>
              <w:spacing w:before="240" w:after="0"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8A7461">
              <w:rPr>
                <w:rFonts w:asciiTheme="minorEastAsia" w:hAnsiTheme="minorEastAsia" w:hint="eastAsia"/>
                <w:szCs w:val="21"/>
              </w:rPr>
              <w:t>公司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024</w:t>
            </w:r>
            <w:r>
              <w:rPr>
                <w:rFonts w:asciiTheme="minorEastAsia" w:hAnsiTheme="minorEastAsia" w:hint="eastAsia"/>
                <w:szCs w:val="21"/>
              </w:rPr>
              <w:t>年前三季度</w:t>
            </w:r>
            <w:r w:rsidRPr="008A7461">
              <w:rPr>
                <w:rFonts w:asciiTheme="minorEastAsia" w:hAnsiTheme="minorEastAsia" w:hint="eastAsia"/>
                <w:szCs w:val="21"/>
              </w:rPr>
              <w:t>实现营业收入37.77亿元，同比增加22.22%；实现归母净利润3.97亿元，同比增加36.66%；基本每股收益0.90元，同比增加36.36%</w:t>
            </w:r>
            <w:r w:rsidR="00046DC7">
              <w:rPr>
                <w:rFonts w:asciiTheme="minorEastAsia" w:hAnsiTheme="minorEastAsia" w:hint="eastAsia"/>
                <w:szCs w:val="21"/>
              </w:rPr>
              <w:t>；</w:t>
            </w:r>
            <w:r w:rsidR="00046DC7">
              <w:t>经营活动产生的现金流量净额</w:t>
            </w:r>
            <w:r w:rsidR="00046DC7">
              <w:rPr>
                <w:rFonts w:hint="eastAsia"/>
              </w:rPr>
              <w:t>5</w:t>
            </w:r>
            <w:r w:rsidR="00046DC7">
              <w:t>.16</w:t>
            </w:r>
            <w:r w:rsidR="00046DC7">
              <w:rPr>
                <w:rFonts w:hint="eastAsia"/>
              </w:rPr>
              <w:t>亿元，同比增加</w:t>
            </w:r>
            <w:r w:rsidR="00046DC7">
              <w:rPr>
                <w:rFonts w:hint="eastAsia"/>
              </w:rPr>
              <w:t>3</w:t>
            </w:r>
            <w:r w:rsidR="00046DC7">
              <w:t>0.30%</w:t>
            </w:r>
            <w:r w:rsidR="00046DC7">
              <w:rPr>
                <w:rFonts w:hint="eastAsia"/>
              </w:rPr>
              <w:t>；</w:t>
            </w:r>
            <w:r w:rsidR="00046DC7">
              <w:rPr>
                <w:rFonts w:asciiTheme="minorEastAsia" w:hAnsiTheme="minorEastAsia" w:hint="eastAsia"/>
                <w:szCs w:val="21"/>
              </w:rPr>
              <w:t>期末</w:t>
            </w:r>
            <w:r>
              <w:rPr>
                <w:rFonts w:asciiTheme="minorEastAsia" w:hAnsiTheme="minorEastAsia" w:hint="eastAsia"/>
                <w:szCs w:val="21"/>
              </w:rPr>
              <w:t>资产负债率</w:t>
            </w:r>
            <w:r w:rsidR="00046DC7">
              <w:rPr>
                <w:rFonts w:asciiTheme="minorEastAsia" w:hAnsiTheme="minorEastAsia" w:hint="eastAsia"/>
                <w:szCs w:val="21"/>
              </w:rPr>
              <w:t>3</w:t>
            </w:r>
            <w:r w:rsidR="00046DC7">
              <w:rPr>
                <w:rFonts w:asciiTheme="minorEastAsia" w:hAnsiTheme="minorEastAsia"/>
                <w:szCs w:val="21"/>
              </w:rPr>
              <w:t>2.11%</w:t>
            </w:r>
            <w:r w:rsidR="00046DC7">
              <w:rPr>
                <w:rFonts w:asciiTheme="minorEastAsia" w:hAnsiTheme="minorEastAsia" w:hint="eastAsia"/>
                <w:szCs w:val="21"/>
              </w:rPr>
              <w:t>，较期初</w:t>
            </w:r>
            <w:r w:rsidR="00290351">
              <w:rPr>
                <w:rFonts w:asciiTheme="minorEastAsia" w:hAnsiTheme="minorEastAsia" w:hint="eastAsia"/>
                <w:szCs w:val="21"/>
              </w:rPr>
              <w:t>降低</w:t>
            </w:r>
            <w:r w:rsidR="00046DC7">
              <w:rPr>
                <w:rFonts w:asciiTheme="minorEastAsia" w:hAnsiTheme="minorEastAsia" w:hint="eastAsia"/>
                <w:szCs w:val="21"/>
              </w:rPr>
              <w:t>1</w:t>
            </w:r>
            <w:r w:rsidR="00046DC7">
              <w:rPr>
                <w:rFonts w:asciiTheme="minorEastAsia" w:hAnsiTheme="minorEastAsia"/>
                <w:szCs w:val="21"/>
              </w:rPr>
              <w:t>.92</w:t>
            </w:r>
            <w:r w:rsidR="000947DB">
              <w:rPr>
                <w:rFonts w:asciiTheme="minorEastAsia" w:hAnsiTheme="minorEastAsia" w:hint="eastAsia"/>
                <w:szCs w:val="21"/>
              </w:rPr>
              <w:t>个百分点</w:t>
            </w:r>
            <w:r w:rsidR="00046DC7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7E306CA6" w14:textId="121B940C" w:rsidR="000947DB" w:rsidRPr="000947DB" w:rsidRDefault="000947DB" w:rsidP="000947DB">
            <w:pPr>
              <w:pStyle w:val="af1"/>
              <w:numPr>
                <w:ilvl w:val="0"/>
                <w:numId w:val="3"/>
              </w:numPr>
              <w:spacing w:before="240" w:after="0" w:line="360" w:lineRule="exact"/>
              <w:ind w:firstLineChars="0"/>
              <w:rPr>
                <w:rFonts w:asciiTheme="minorEastAsia" w:hAnsiTheme="minorEastAsia"/>
                <w:b/>
                <w:szCs w:val="21"/>
              </w:rPr>
            </w:pPr>
            <w:r w:rsidRPr="000947DB">
              <w:rPr>
                <w:rFonts w:asciiTheme="minorEastAsia" w:hAnsiTheme="minorEastAsia" w:hint="eastAsia"/>
                <w:b/>
                <w:szCs w:val="21"/>
              </w:rPr>
              <w:t>请介绍泰国基地扩产的进度</w:t>
            </w:r>
            <w:r w:rsidR="00286174">
              <w:rPr>
                <w:rFonts w:asciiTheme="minorEastAsia" w:hAnsiTheme="minorEastAsia" w:hint="eastAsia"/>
                <w:b/>
                <w:szCs w:val="21"/>
              </w:rPr>
              <w:t>，以及目前的运营情况</w:t>
            </w:r>
            <w:r w:rsidRPr="000947DB">
              <w:rPr>
                <w:rFonts w:asciiTheme="minorEastAsia" w:hAnsiTheme="minorEastAsia" w:hint="eastAsia"/>
                <w:b/>
                <w:szCs w:val="21"/>
              </w:rPr>
              <w:t>。</w:t>
            </w:r>
          </w:p>
          <w:p w14:paraId="68EE9CB6" w14:textId="7E3438A2" w:rsidR="000947DB" w:rsidRDefault="00530CF1" w:rsidP="000947DB">
            <w:pPr>
              <w:pStyle w:val="af1"/>
              <w:spacing w:after="0" w:line="360" w:lineRule="exact"/>
              <w:rPr>
                <w:rFonts w:asciiTheme="minorEastAsia" w:hAnsiTheme="minorEastAsia"/>
                <w:szCs w:val="21"/>
              </w:rPr>
            </w:pPr>
            <w:r w:rsidRPr="000947DB">
              <w:rPr>
                <w:rFonts w:asciiTheme="minorEastAsia" w:hAnsiTheme="minorEastAsia" w:hint="eastAsia"/>
                <w:szCs w:val="21"/>
              </w:rPr>
              <w:t>泰国</w:t>
            </w:r>
            <w:r>
              <w:rPr>
                <w:rFonts w:asciiTheme="minorEastAsia" w:hAnsiTheme="minorEastAsia" w:hint="eastAsia"/>
                <w:szCs w:val="21"/>
              </w:rPr>
              <w:t>生产基地系</w:t>
            </w:r>
            <w:r w:rsidRPr="000947DB">
              <w:rPr>
                <w:rFonts w:asciiTheme="minorEastAsia" w:hAnsiTheme="minorEastAsia" w:hint="eastAsia"/>
                <w:szCs w:val="21"/>
              </w:rPr>
              <w:t>全产品线布局</w:t>
            </w:r>
            <w:r>
              <w:rPr>
                <w:rFonts w:asciiTheme="minorEastAsia" w:hAnsiTheme="minorEastAsia" w:hint="eastAsia"/>
                <w:szCs w:val="21"/>
              </w:rPr>
              <w:t>，整体分为三期。一期已成熟量产五年之久</w:t>
            </w:r>
            <w:r w:rsidR="00730E9E">
              <w:rPr>
                <w:rFonts w:asciiTheme="minorEastAsia" w:hAnsiTheme="minorEastAsia" w:hint="eastAsia"/>
                <w:szCs w:val="21"/>
              </w:rPr>
              <w:t>；</w:t>
            </w:r>
            <w:r w:rsidR="000947DB" w:rsidRPr="000947DB">
              <w:rPr>
                <w:rFonts w:asciiTheme="minorEastAsia" w:hAnsiTheme="minorEastAsia" w:hint="eastAsia"/>
                <w:szCs w:val="21"/>
              </w:rPr>
              <w:t>二期</w:t>
            </w:r>
            <w:r>
              <w:rPr>
                <w:rFonts w:asciiTheme="minorEastAsia" w:hAnsiTheme="minorEastAsia" w:hint="eastAsia"/>
                <w:szCs w:val="21"/>
              </w:rPr>
              <w:t>共建设厂房</w:t>
            </w:r>
            <w:r w:rsidR="000947DB" w:rsidRPr="000947DB">
              <w:rPr>
                <w:rFonts w:asciiTheme="minorEastAsia" w:hAnsiTheme="minorEastAsia" w:hint="eastAsia"/>
                <w:szCs w:val="21"/>
              </w:rPr>
              <w:t>五栋</w:t>
            </w:r>
            <w:r w:rsidR="00286174">
              <w:rPr>
                <w:rFonts w:asciiTheme="minorEastAsia" w:hAnsiTheme="minorEastAsia" w:hint="eastAsia"/>
                <w:szCs w:val="21"/>
              </w:rPr>
              <w:t>，</w:t>
            </w:r>
            <w:r w:rsidR="00730E9E">
              <w:rPr>
                <w:rFonts w:asciiTheme="minorEastAsia" w:hAnsiTheme="minorEastAsia" w:hint="eastAsia"/>
                <w:szCs w:val="21"/>
              </w:rPr>
              <w:t>目前</w:t>
            </w:r>
            <w:r w:rsidR="000947DB" w:rsidRPr="000947DB">
              <w:rPr>
                <w:rFonts w:asciiTheme="minorEastAsia" w:hAnsiTheme="minorEastAsia" w:hint="eastAsia"/>
                <w:szCs w:val="21"/>
              </w:rPr>
              <w:t>启</w:t>
            </w:r>
            <w:r w:rsidR="00286174">
              <w:rPr>
                <w:rFonts w:asciiTheme="minorEastAsia" w:hAnsiTheme="minorEastAsia" w:hint="eastAsia"/>
                <w:szCs w:val="21"/>
              </w:rPr>
              <w:t>用</w:t>
            </w:r>
            <w:r w:rsidR="000947DB" w:rsidRPr="000947DB">
              <w:rPr>
                <w:rFonts w:asciiTheme="minorEastAsia" w:hAnsiTheme="minorEastAsia" w:hint="eastAsia"/>
                <w:szCs w:val="21"/>
              </w:rPr>
              <w:t>了四栋</w:t>
            </w:r>
            <w:r w:rsidR="00730E9E">
              <w:rPr>
                <w:rFonts w:asciiTheme="minorEastAsia" w:hAnsiTheme="minorEastAsia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三期</w:t>
            </w:r>
            <w:r w:rsidR="00730E9E">
              <w:rPr>
                <w:rFonts w:asciiTheme="minorEastAsia" w:hAnsiTheme="minorEastAsia" w:hint="eastAsia"/>
                <w:szCs w:val="21"/>
              </w:rPr>
              <w:t>已做好</w:t>
            </w:r>
            <w:r>
              <w:rPr>
                <w:rFonts w:asciiTheme="minorEastAsia" w:hAnsiTheme="minorEastAsia" w:hint="eastAsia"/>
                <w:szCs w:val="21"/>
              </w:rPr>
              <w:t>土地储备，</w:t>
            </w:r>
            <w:r w:rsidR="00730E9E">
              <w:rPr>
                <w:rFonts w:asciiTheme="minorEastAsia" w:hAnsiTheme="minorEastAsia" w:hint="eastAsia"/>
                <w:szCs w:val="21"/>
              </w:rPr>
              <w:t>可以试需随时启动</w:t>
            </w:r>
            <w:r w:rsidR="00286174">
              <w:rPr>
                <w:rFonts w:asciiTheme="minorEastAsia" w:hAnsiTheme="minorEastAsia" w:hint="eastAsia"/>
                <w:szCs w:val="21"/>
              </w:rPr>
              <w:t>。一期加二期合计的</w:t>
            </w:r>
            <w:r w:rsidR="000947DB" w:rsidRPr="000947DB">
              <w:rPr>
                <w:rFonts w:asciiTheme="minorEastAsia" w:hAnsiTheme="minorEastAsia" w:hint="eastAsia"/>
                <w:szCs w:val="21"/>
              </w:rPr>
              <w:t>满产能设计</w:t>
            </w:r>
            <w:r w:rsidR="00730E9E">
              <w:rPr>
                <w:rFonts w:asciiTheme="minorEastAsia" w:hAnsiTheme="minorEastAsia" w:hint="eastAsia"/>
                <w:szCs w:val="21"/>
              </w:rPr>
              <w:t>在</w:t>
            </w:r>
            <w:r w:rsidR="000947DB" w:rsidRPr="000947DB">
              <w:rPr>
                <w:rFonts w:asciiTheme="minorEastAsia" w:hAnsiTheme="minorEastAsia" w:hint="eastAsia"/>
                <w:szCs w:val="21"/>
              </w:rPr>
              <w:t>12亿</w:t>
            </w:r>
            <w:r w:rsidR="00286174">
              <w:rPr>
                <w:rFonts w:asciiTheme="minorEastAsia" w:hAnsiTheme="minorEastAsia" w:hint="eastAsia"/>
                <w:szCs w:val="21"/>
              </w:rPr>
              <w:t>人民币</w:t>
            </w:r>
            <w:r w:rsidR="00730E9E">
              <w:rPr>
                <w:rFonts w:asciiTheme="minorEastAsia" w:hAnsiTheme="minorEastAsia" w:hint="eastAsia"/>
                <w:szCs w:val="21"/>
              </w:rPr>
              <w:t>左右。</w:t>
            </w:r>
            <w:r w:rsidR="00730E9E" w:rsidRPr="000947DB">
              <w:rPr>
                <w:rFonts w:asciiTheme="minorEastAsia" w:hAnsiTheme="minorEastAsia" w:hint="eastAsia"/>
                <w:szCs w:val="21"/>
              </w:rPr>
              <w:t>前三季</w:t>
            </w:r>
            <w:r w:rsidR="000947DB" w:rsidRPr="000947DB">
              <w:rPr>
                <w:rFonts w:asciiTheme="minorEastAsia" w:hAnsiTheme="minorEastAsia" w:hint="eastAsia"/>
                <w:szCs w:val="21"/>
              </w:rPr>
              <w:t>毛利率和净利率同比</w:t>
            </w:r>
            <w:r w:rsidR="00286174">
              <w:rPr>
                <w:rFonts w:asciiTheme="minorEastAsia" w:hAnsiTheme="minorEastAsia" w:hint="eastAsia"/>
                <w:szCs w:val="21"/>
              </w:rPr>
              <w:t>均有显著</w:t>
            </w:r>
            <w:r>
              <w:rPr>
                <w:rFonts w:asciiTheme="minorEastAsia" w:hAnsiTheme="minorEastAsia" w:hint="eastAsia"/>
                <w:szCs w:val="21"/>
              </w:rPr>
              <w:t>提升。</w:t>
            </w:r>
            <w:r w:rsidR="00730E9E">
              <w:rPr>
                <w:rFonts w:asciiTheme="minorEastAsia" w:hAnsiTheme="minorEastAsia" w:hint="eastAsia"/>
                <w:szCs w:val="21"/>
              </w:rPr>
              <w:t>基于</w:t>
            </w:r>
            <w:r w:rsidR="000947DB" w:rsidRPr="000947DB">
              <w:rPr>
                <w:rFonts w:asciiTheme="minorEastAsia" w:hAnsiTheme="minorEastAsia" w:hint="eastAsia"/>
                <w:szCs w:val="21"/>
              </w:rPr>
              <w:t>配套供应链</w:t>
            </w:r>
            <w:r w:rsidR="00730E9E">
              <w:rPr>
                <w:rFonts w:asciiTheme="minorEastAsia" w:hAnsiTheme="minorEastAsia" w:hint="eastAsia"/>
                <w:szCs w:val="21"/>
              </w:rPr>
              <w:t>已</w:t>
            </w:r>
            <w:r>
              <w:rPr>
                <w:rFonts w:asciiTheme="minorEastAsia" w:hAnsiTheme="minorEastAsia" w:hint="eastAsia"/>
                <w:szCs w:val="21"/>
              </w:rPr>
              <w:t>逐步进入</w:t>
            </w:r>
            <w:r w:rsidR="000947DB" w:rsidRPr="000947DB">
              <w:rPr>
                <w:rFonts w:asciiTheme="minorEastAsia" w:hAnsiTheme="minorEastAsia" w:hint="eastAsia"/>
                <w:szCs w:val="21"/>
              </w:rPr>
              <w:t>泰国</w:t>
            </w:r>
            <w:r w:rsidR="00730E9E">
              <w:rPr>
                <w:rFonts w:asciiTheme="minorEastAsia" w:hAnsiTheme="minorEastAsia" w:hint="eastAsia"/>
                <w:szCs w:val="21"/>
              </w:rPr>
              <w:t>，加上二期产能利用率提升，泰国基地的效益还有</w:t>
            </w:r>
            <w:r w:rsidR="00F1088D">
              <w:rPr>
                <w:rFonts w:asciiTheme="minorEastAsia" w:hAnsiTheme="minorEastAsia" w:hint="eastAsia"/>
                <w:szCs w:val="21"/>
              </w:rPr>
              <w:t>进一步优化</w:t>
            </w:r>
            <w:r w:rsidR="00730E9E">
              <w:rPr>
                <w:rFonts w:asciiTheme="minorEastAsia" w:hAnsiTheme="minorEastAsia" w:hint="eastAsia"/>
                <w:szCs w:val="21"/>
              </w:rPr>
              <w:t>的空间。</w:t>
            </w:r>
          </w:p>
          <w:p w14:paraId="4F25E252" w14:textId="4E8E8AF3" w:rsidR="000947DB" w:rsidRPr="00C33876" w:rsidRDefault="00C33876" w:rsidP="00C33876">
            <w:pPr>
              <w:pStyle w:val="af1"/>
              <w:numPr>
                <w:ilvl w:val="0"/>
                <w:numId w:val="3"/>
              </w:numPr>
              <w:spacing w:before="240" w:after="0" w:line="360" w:lineRule="exact"/>
              <w:ind w:left="321" w:firstLineChars="0"/>
              <w:rPr>
                <w:rFonts w:asciiTheme="minorEastAsia" w:hAnsiTheme="minorEastAsia"/>
                <w:b/>
                <w:szCs w:val="21"/>
              </w:rPr>
            </w:pPr>
            <w:r w:rsidRPr="00C33876">
              <w:rPr>
                <w:rFonts w:asciiTheme="minorEastAsia" w:hAnsiTheme="minorEastAsia" w:hint="eastAsia"/>
                <w:b/>
                <w:szCs w:val="21"/>
              </w:rPr>
              <w:t>请问公司</w:t>
            </w:r>
            <w:r w:rsidR="002C6D1E">
              <w:rPr>
                <w:rFonts w:asciiTheme="minorEastAsia" w:hAnsiTheme="minorEastAsia" w:hint="eastAsia"/>
                <w:b/>
                <w:szCs w:val="21"/>
              </w:rPr>
              <w:t>在</w:t>
            </w:r>
            <w:r w:rsidRPr="00C33876">
              <w:rPr>
                <w:rFonts w:asciiTheme="minorEastAsia" w:hAnsiTheme="minorEastAsia" w:hint="eastAsia"/>
                <w:b/>
                <w:szCs w:val="21"/>
              </w:rPr>
              <w:t>墨西哥</w:t>
            </w:r>
            <w:r w:rsidR="002C6D1E">
              <w:rPr>
                <w:rFonts w:asciiTheme="minorEastAsia" w:hAnsiTheme="minorEastAsia" w:hint="eastAsia"/>
                <w:b/>
                <w:szCs w:val="21"/>
              </w:rPr>
              <w:t>投资的</w:t>
            </w:r>
            <w:r w:rsidR="00140D5E">
              <w:rPr>
                <w:rFonts w:asciiTheme="minorEastAsia" w:hAnsiTheme="minorEastAsia" w:hint="eastAsia"/>
                <w:b/>
                <w:szCs w:val="21"/>
              </w:rPr>
              <w:t>考虑，以及</w:t>
            </w:r>
            <w:r w:rsidRPr="00C33876">
              <w:rPr>
                <w:rFonts w:asciiTheme="minorEastAsia" w:hAnsiTheme="minorEastAsia" w:hint="eastAsia"/>
                <w:b/>
                <w:szCs w:val="21"/>
              </w:rPr>
              <w:t>预计可生产时间？</w:t>
            </w:r>
          </w:p>
          <w:p w14:paraId="738F4293" w14:textId="04FA9E34" w:rsidR="00140D5E" w:rsidRDefault="00C33876" w:rsidP="002C6D1E">
            <w:pPr>
              <w:pStyle w:val="af1"/>
              <w:spacing w:after="0" w:line="360" w:lineRule="exact"/>
              <w:ind w:firstLineChars="171" w:firstLine="359"/>
              <w:rPr>
                <w:rFonts w:asciiTheme="minorEastAsia" w:hAnsiTheme="minorEastAsia"/>
                <w:szCs w:val="21"/>
              </w:rPr>
            </w:pPr>
            <w:r w:rsidRPr="00C33876">
              <w:rPr>
                <w:rFonts w:asciiTheme="minorEastAsia" w:hAnsiTheme="minorEastAsia" w:hint="eastAsia"/>
                <w:szCs w:val="21"/>
              </w:rPr>
              <w:t>墨西哥基地</w:t>
            </w:r>
            <w:r w:rsidR="002C6D1E">
              <w:rPr>
                <w:rFonts w:asciiTheme="minorEastAsia" w:hAnsiTheme="minorEastAsia" w:hint="eastAsia"/>
                <w:szCs w:val="21"/>
              </w:rPr>
              <w:t>投建是公司继泰国基地后</w:t>
            </w:r>
            <w:r w:rsidR="002C6D1E" w:rsidRPr="002C6D1E">
              <w:rPr>
                <w:rFonts w:asciiTheme="minorEastAsia" w:hAnsiTheme="minorEastAsia" w:hint="eastAsia"/>
                <w:szCs w:val="21"/>
              </w:rPr>
              <w:t>国际化布局</w:t>
            </w:r>
            <w:r w:rsidR="002C6D1E">
              <w:rPr>
                <w:rFonts w:asciiTheme="minorEastAsia" w:hAnsiTheme="minorEastAsia" w:hint="eastAsia"/>
                <w:szCs w:val="21"/>
              </w:rPr>
              <w:t>又一重要的战略性举措</w:t>
            </w:r>
            <w:r w:rsidR="001C0C91">
              <w:rPr>
                <w:rFonts w:asciiTheme="minorEastAsia" w:hAnsiTheme="minorEastAsia" w:hint="eastAsia"/>
                <w:szCs w:val="21"/>
              </w:rPr>
              <w:t>。一方面，更加贴近北美客户，</w:t>
            </w:r>
            <w:r w:rsidR="001C0C91" w:rsidRPr="001C0C91">
              <w:rPr>
                <w:rFonts w:asciiTheme="minorEastAsia" w:hAnsiTheme="minorEastAsia" w:hint="eastAsia"/>
                <w:szCs w:val="21"/>
              </w:rPr>
              <w:t>快速响应客户定制化和多样化的需求，有利于提升产品研发和订单转化的效率，</w:t>
            </w:r>
            <w:r w:rsidR="001C0C91">
              <w:rPr>
                <w:rFonts w:asciiTheme="minorEastAsia" w:hAnsiTheme="minorEastAsia" w:hint="eastAsia"/>
                <w:szCs w:val="21"/>
              </w:rPr>
              <w:t>进一步</w:t>
            </w:r>
            <w:r w:rsidR="001C0C91" w:rsidRPr="001C0C91">
              <w:rPr>
                <w:rFonts w:asciiTheme="minorEastAsia" w:hAnsiTheme="minorEastAsia" w:hint="eastAsia"/>
                <w:szCs w:val="21"/>
              </w:rPr>
              <w:t>提高产品价值和订单交付</w:t>
            </w:r>
            <w:r w:rsidR="001C0C91">
              <w:rPr>
                <w:rFonts w:asciiTheme="minorEastAsia" w:hAnsiTheme="minorEastAsia" w:hint="eastAsia"/>
                <w:szCs w:val="21"/>
              </w:rPr>
              <w:t>水平</w:t>
            </w:r>
            <w:r w:rsidR="006F0333">
              <w:rPr>
                <w:rFonts w:asciiTheme="minorEastAsia" w:hAnsiTheme="minorEastAsia" w:hint="eastAsia"/>
                <w:szCs w:val="21"/>
              </w:rPr>
              <w:t>，提升客户满意度</w:t>
            </w:r>
            <w:r w:rsidR="001C0C91" w:rsidRPr="001C0C91">
              <w:rPr>
                <w:rFonts w:asciiTheme="minorEastAsia" w:hAnsiTheme="minorEastAsia" w:hint="eastAsia"/>
                <w:szCs w:val="21"/>
              </w:rPr>
              <w:t>；</w:t>
            </w:r>
            <w:r w:rsidR="001C0C91">
              <w:rPr>
                <w:rFonts w:asciiTheme="minorEastAsia" w:hAnsiTheme="minorEastAsia" w:hint="eastAsia"/>
                <w:szCs w:val="21"/>
              </w:rPr>
              <w:t>另一方面，深入实施公司外循环领先战略，</w:t>
            </w:r>
            <w:r w:rsidR="001C0C91" w:rsidRPr="001C0C91">
              <w:rPr>
                <w:rFonts w:asciiTheme="minorEastAsia" w:hAnsiTheme="minorEastAsia" w:hint="eastAsia"/>
                <w:szCs w:val="21"/>
              </w:rPr>
              <w:t>完善海外产能整体布局，进一步提升公司的市场份额和对国际复杂贸易形势的应变能力，巩固公司海外运营优势</w:t>
            </w:r>
            <w:r w:rsidR="001C0C91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4F9735E7" w14:textId="2D592F32" w:rsidR="00C33876" w:rsidRDefault="00F21495" w:rsidP="002C6D1E">
            <w:pPr>
              <w:pStyle w:val="af1"/>
              <w:spacing w:after="0" w:line="360" w:lineRule="exact"/>
              <w:ind w:firstLineChars="171" w:firstLine="35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</w:t>
            </w:r>
            <w:r w:rsidR="00C33876" w:rsidRPr="00C33876">
              <w:rPr>
                <w:rFonts w:asciiTheme="minorEastAsia" w:hAnsiTheme="minorEastAsia" w:hint="eastAsia"/>
                <w:szCs w:val="21"/>
              </w:rPr>
              <w:t>投资</w:t>
            </w:r>
            <w:r w:rsidR="003447B3">
              <w:rPr>
                <w:rFonts w:asciiTheme="minorEastAsia" w:hAnsiTheme="minorEastAsia" w:hint="eastAsia"/>
                <w:szCs w:val="21"/>
              </w:rPr>
              <w:t>总额</w:t>
            </w:r>
            <w:r w:rsidR="00C33876" w:rsidRPr="00C33876">
              <w:rPr>
                <w:rFonts w:asciiTheme="minorEastAsia" w:hAnsiTheme="minorEastAsia" w:hint="eastAsia"/>
                <w:szCs w:val="21"/>
              </w:rPr>
              <w:t>4</w:t>
            </w:r>
            <w:r w:rsidR="003447B3">
              <w:rPr>
                <w:rFonts w:asciiTheme="minorEastAsia" w:hAnsiTheme="minorEastAsia"/>
                <w:szCs w:val="21"/>
              </w:rPr>
              <w:t>,</w:t>
            </w:r>
            <w:r w:rsidR="00C33876" w:rsidRPr="00C33876">
              <w:rPr>
                <w:rFonts w:asciiTheme="minorEastAsia" w:hAnsiTheme="minorEastAsia" w:hint="eastAsia"/>
                <w:szCs w:val="21"/>
              </w:rPr>
              <w:t>000万美金，</w:t>
            </w:r>
            <w:r w:rsidR="003447B3">
              <w:rPr>
                <w:rFonts w:asciiTheme="minorEastAsia" w:hAnsiTheme="minorEastAsia" w:hint="eastAsia"/>
                <w:szCs w:val="21"/>
              </w:rPr>
              <w:t>规划</w:t>
            </w:r>
            <w:r w:rsidR="002C6D1E">
              <w:rPr>
                <w:rFonts w:asciiTheme="minorEastAsia" w:hAnsiTheme="minorEastAsia" w:hint="eastAsia"/>
                <w:szCs w:val="21"/>
              </w:rPr>
              <w:t>今年</w:t>
            </w:r>
            <w:r w:rsidR="00D43257">
              <w:rPr>
                <w:rFonts w:asciiTheme="minorEastAsia" w:hAnsiTheme="minorEastAsia" w:hint="eastAsia"/>
                <w:szCs w:val="21"/>
              </w:rPr>
              <w:t>底完成公司设立，先</w:t>
            </w:r>
            <w:r w:rsidR="002C6D1E">
              <w:rPr>
                <w:rFonts w:asciiTheme="minorEastAsia" w:hAnsiTheme="minorEastAsia" w:hint="eastAsia"/>
                <w:szCs w:val="21"/>
              </w:rPr>
              <w:t>以</w:t>
            </w:r>
            <w:r w:rsidR="00C33876" w:rsidRPr="00C33876">
              <w:rPr>
                <w:rFonts w:asciiTheme="minorEastAsia" w:hAnsiTheme="minorEastAsia" w:hint="eastAsia"/>
                <w:szCs w:val="21"/>
              </w:rPr>
              <w:t>租赁厂房</w:t>
            </w:r>
            <w:r w:rsidR="002C6D1E">
              <w:rPr>
                <w:rFonts w:asciiTheme="minorEastAsia" w:hAnsiTheme="minorEastAsia" w:hint="eastAsia"/>
                <w:szCs w:val="21"/>
              </w:rPr>
              <w:t>的形式</w:t>
            </w:r>
            <w:r w:rsidR="002C6D1E">
              <w:rPr>
                <w:rFonts w:asciiTheme="minorEastAsia" w:hAnsiTheme="minorEastAsia" w:hint="eastAsia"/>
                <w:szCs w:val="21"/>
              </w:rPr>
              <w:lastRenderedPageBreak/>
              <w:t>投放生</w:t>
            </w:r>
            <w:r w:rsidR="00D43257">
              <w:rPr>
                <w:rFonts w:asciiTheme="minorEastAsia" w:hAnsiTheme="minorEastAsia" w:hint="eastAsia"/>
                <w:szCs w:val="21"/>
              </w:rPr>
              <w:t>产线，</w:t>
            </w:r>
            <w:r w:rsidR="002C6D1E">
              <w:rPr>
                <w:rFonts w:asciiTheme="minorEastAsia" w:hAnsiTheme="minorEastAsia" w:hint="eastAsia"/>
                <w:szCs w:val="21"/>
              </w:rPr>
              <w:t>预计</w:t>
            </w:r>
            <w:r w:rsidR="00EC2511">
              <w:rPr>
                <w:rFonts w:asciiTheme="minorEastAsia" w:hAnsiTheme="minorEastAsia" w:hint="eastAsia"/>
                <w:szCs w:val="21"/>
              </w:rPr>
              <w:t>最快</w:t>
            </w:r>
            <w:r w:rsidR="00D43257">
              <w:rPr>
                <w:rFonts w:asciiTheme="minorEastAsia" w:hAnsiTheme="minorEastAsia" w:hint="eastAsia"/>
                <w:szCs w:val="21"/>
              </w:rPr>
              <w:t>明年年中可以出货，同</w:t>
            </w:r>
            <w:r w:rsidR="002C6D1E">
              <w:rPr>
                <w:rFonts w:asciiTheme="minorEastAsia" w:hAnsiTheme="minorEastAsia" w:hint="eastAsia"/>
                <w:szCs w:val="21"/>
              </w:rPr>
              <w:t>步确定</w:t>
            </w:r>
            <w:r w:rsidR="00D43257">
              <w:rPr>
                <w:rFonts w:asciiTheme="minorEastAsia" w:hAnsiTheme="minorEastAsia" w:hint="eastAsia"/>
                <w:szCs w:val="21"/>
              </w:rPr>
              <w:t>自有厂房</w:t>
            </w:r>
            <w:r w:rsidR="002C6D1E">
              <w:rPr>
                <w:rFonts w:asciiTheme="minorEastAsia" w:hAnsiTheme="minorEastAsia" w:hint="eastAsia"/>
                <w:szCs w:val="21"/>
              </w:rPr>
              <w:t>的建设方案</w:t>
            </w:r>
            <w:r w:rsidR="00C33876">
              <w:rPr>
                <w:rFonts w:asciiTheme="minorEastAsia" w:hAnsiTheme="minorEastAsia" w:hint="eastAsia"/>
                <w:szCs w:val="21"/>
              </w:rPr>
              <w:t>。</w:t>
            </w:r>
            <w:r w:rsidR="001E4982">
              <w:rPr>
                <w:rFonts w:asciiTheme="minorEastAsia" w:hAnsiTheme="minorEastAsia" w:hint="eastAsia"/>
                <w:szCs w:val="21"/>
              </w:rPr>
              <w:t>公司</w:t>
            </w:r>
            <w:r w:rsidR="001E4982" w:rsidRPr="001E4982">
              <w:rPr>
                <w:rFonts w:asciiTheme="minorEastAsia" w:hAnsiTheme="minorEastAsia" w:hint="eastAsia"/>
                <w:szCs w:val="21"/>
              </w:rPr>
              <w:t>前期</w:t>
            </w:r>
            <w:r w:rsidR="001E4982">
              <w:rPr>
                <w:rFonts w:asciiTheme="minorEastAsia" w:hAnsiTheme="minorEastAsia" w:hint="eastAsia"/>
                <w:szCs w:val="21"/>
              </w:rPr>
              <w:t>已做好</w:t>
            </w:r>
            <w:r w:rsidR="001E4982" w:rsidRPr="001E4982">
              <w:rPr>
                <w:rFonts w:asciiTheme="minorEastAsia" w:hAnsiTheme="minorEastAsia" w:hint="eastAsia"/>
                <w:szCs w:val="21"/>
              </w:rPr>
              <w:t>充分</w:t>
            </w:r>
            <w:r w:rsidR="001E4982">
              <w:rPr>
                <w:rFonts w:asciiTheme="minorEastAsia" w:hAnsiTheme="minorEastAsia" w:hint="eastAsia"/>
                <w:szCs w:val="21"/>
              </w:rPr>
              <w:t>的</w:t>
            </w:r>
            <w:r w:rsidR="001E4982" w:rsidRPr="001E4982">
              <w:rPr>
                <w:rFonts w:asciiTheme="minorEastAsia" w:hAnsiTheme="minorEastAsia" w:hint="eastAsia"/>
                <w:szCs w:val="21"/>
              </w:rPr>
              <w:t>调研和严谨的可行性分析</w:t>
            </w:r>
            <w:r w:rsidR="001E4982">
              <w:rPr>
                <w:rFonts w:asciiTheme="minorEastAsia" w:hAnsiTheme="minorEastAsia" w:hint="eastAsia"/>
                <w:szCs w:val="21"/>
              </w:rPr>
              <w:t>，将</w:t>
            </w:r>
            <w:r w:rsidR="001E4982" w:rsidRPr="001E4982">
              <w:rPr>
                <w:rFonts w:asciiTheme="minorEastAsia" w:hAnsiTheme="minorEastAsia" w:hint="eastAsia"/>
                <w:szCs w:val="21"/>
              </w:rPr>
              <w:t>借鉴泰国生产基地的</w:t>
            </w:r>
            <w:r w:rsidR="001E4982">
              <w:rPr>
                <w:rFonts w:asciiTheme="minorEastAsia" w:hAnsiTheme="minorEastAsia" w:hint="eastAsia"/>
                <w:szCs w:val="21"/>
              </w:rPr>
              <w:t>成功</w:t>
            </w:r>
            <w:r w:rsidR="001E4982" w:rsidRPr="001E4982">
              <w:rPr>
                <w:rFonts w:asciiTheme="minorEastAsia" w:hAnsiTheme="minorEastAsia" w:hint="eastAsia"/>
                <w:szCs w:val="21"/>
              </w:rPr>
              <w:t>经验，选派优秀的管理人员，组建</w:t>
            </w:r>
            <w:r w:rsidR="001E4982">
              <w:rPr>
                <w:rFonts w:asciiTheme="minorEastAsia" w:hAnsiTheme="minorEastAsia" w:hint="eastAsia"/>
                <w:szCs w:val="21"/>
              </w:rPr>
              <w:t>精良</w:t>
            </w:r>
            <w:r w:rsidR="001E4982" w:rsidRPr="001E4982">
              <w:rPr>
                <w:rFonts w:asciiTheme="minorEastAsia" w:hAnsiTheme="minorEastAsia" w:hint="eastAsia"/>
                <w:szCs w:val="21"/>
              </w:rPr>
              <w:t>的经营团队，保障墨西哥生产基地的各项投资建设工作按计划有条不紊地开展。</w:t>
            </w:r>
          </w:p>
          <w:p w14:paraId="73278FFB" w14:textId="4681D93B" w:rsidR="00C33876" w:rsidRPr="00FB76C2" w:rsidRDefault="00FB76C2" w:rsidP="00FB76C2">
            <w:pPr>
              <w:pStyle w:val="af1"/>
              <w:numPr>
                <w:ilvl w:val="0"/>
                <w:numId w:val="3"/>
              </w:numPr>
              <w:spacing w:before="240" w:after="0" w:line="360" w:lineRule="exact"/>
              <w:ind w:firstLineChars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在</w:t>
            </w:r>
            <w:r w:rsidRPr="00FB76C2">
              <w:rPr>
                <w:rFonts w:asciiTheme="minorEastAsia" w:hAnsiTheme="minorEastAsia" w:hint="eastAsia"/>
                <w:b/>
                <w:szCs w:val="21"/>
              </w:rPr>
              <w:t>产品结构方面，主要品类</w:t>
            </w:r>
            <w:r>
              <w:rPr>
                <w:rFonts w:asciiTheme="minorEastAsia" w:hAnsiTheme="minorEastAsia" w:hint="eastAsia"/>
                <w:b/>
                <w:szCs w:val="21"/>
              </w:rPr>
              <w:t>如</w:t>
            </w:r>
            <w:r w:rsidRPr="00FB76C2">
              <w:rPr>
                <w:rFonts w:asciiTheme="minorEastAsia" w:hAnsiTheme="minorEastAsia" w:hint="eastAsia"/>
                <w:b/>
                <w:szCs w:val="21"/>
              </w:rPr>
              <w:t>厨卫、净水</w:t>
            </w:r>
            <w:r>
              <w:rPr>
                <w:rFonts w:asciiTheme="minorEastAsia" w:hAnsiTheme="minorEastAsia" w:hint="eastAsia"/>
                <w:b/>
                <w:szCs w:val="21"/>
              </w:rPr>
              <w:t>的</w:t>
            </w:r>
            <w:r w:rsidRPr="00FB76C2">
              <w:rPr>
                <w:rFonts w:asciiTheme="minorEastAsia" w:hAnsiTheme="minorEastAsia" w:hint="eastAsia"/>
                <w:b/>
                <w:szCs w:val="21"/>
              </w:rPr>
              <w:t>增长情况</w:t>
            </w:r>
            <w:r w:rsidR="00C24BCC">
              <w:rPr>
                <w:rFonts w:asciiTheme="minorEastAsia" w:hAnsiTheme="minorEastAsia" w:hint="eastAsia"/>
                <w:b/>
                <w:szCs w:val="21"/>
              </w:rPr>
              <w:t>怎样</w:t>
            </w:r>
            <w:r w:rsidRPr="00FB76C2">
              <w:rPr>
                <w:rFonts w:asciiTheme="minorEastAsia" w:hAnsiTheme="minorEastAsia" w:hint="eastAsia"/>
                <w:b/>
                <w:szCs w:val="21"/>
              </w:rPr>
              <w:t>？</w:t>
            </w:r>
          </w:p>
          <w:p w14:paraId="1797F275" w14:textId="3FA466BD" w:rsidR="00FB76C2" w:rsidRPr="00FB76C2" w:rsidRDefault="00E5039B" w:rsidP="00077E23">
            <w:pPr>
              <w:spacing w:after="0" w:line="360" w:lineRule="exact"/>
              <w:ind w:left="38" w:firstLineChars="153" w:firstLine="32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今年前三季公司各品类各市场同比均有成长，从品类上看，</w:t>
            </w:r>
            <w:r w:rsidR="0037146C">
              <w:rPr>
                <w:rFonts w:asciiTheme="minorEastAsia" w:hAnsiTheme="minorEastAsia" w:hint="eastAsia"/>
                <w:szCs w:val="21"/>
              </w:rPr>
              <w:t>厨卫</w:t>
            </w:r>
            <w:r w:rsidR="0037146C" w:rsidRPr="00FB76C2">
              <w:rPr>
                <w:rFonts w:asciiTheme="minorEastAsia" w:hAnsiTheme="minorEastAsia" w:hint="eastAsia"/>
                <w:szCs w:val="21"/>
              </w:rPr>
              <w:t>龙头和净水</w:t>
            </w:r>
            <w:r w:rsidR="0037146C">
              <w:rPr>
                <w:rFonts w:asciiTheme="minorEastAsia" w:hAnsiTheme="minorEastAsia" w:hint="eastAsia"/>
                <w:szCs w:val="21"/>
              </w:rPr>
              <w:t>向</w:t>
            </w:r>
            <w:r w:rsidR="0037146C" w:rsidRPr="00FB76C2">
              <w:rPr>
                <w:rFonts w:asciiTheme="minorEastAsia" w:hAnsiTheme="minorEastAsia" w:hint="eastAsia"/>
                <w:szCs w:val="21"/>
              </w:rPr>
              <w:t>既有客户</w:t>
            </w:r>
            <w:r w:rsidR="0037146C">
              <w:rPr>
                <w:rFonts w:asciiTheme="minorEastAsia" w:hAnsiTheme="minorEastAsia" w:hint="eastAsia"/>
                <w:szCs w:val="21"/>
              </w:rPr>
              <w:t>的品类拓展</w:t>
            </w:r>
            <w:r>
              <w:rPr>
                <w:rFonts w:asciiTheme="minorEastAsia" w:hAnsiTheme="minorEastAsia" w:hint="eastAsia"/>
                <w:szCs w:val="21"/>
              </w:rPr>
              <w:t>取得了相对凸出的成绩</w:t>
            </w:r>
            <w:r w:rsidR="0037146C">
              <w:rPr>
                <w:rFonts w:asciiTheme="minorEastAsia" w:hAnsiTheme="minorEastAsia" w:hint="eastAsia"/>
                <w:szCs w:val="21"/>
              </w:rPr>
              <w:t>。</w:t>
            </w:r>
            <w:r>
              <w:rPr>
                <w:rFonts w:asciiTheme="minorEastAsia" w:hAnsiTheme="minorEastAsia" w:hint="eastAsia"/>
                <w:szCs w:val="21"/>
              </w:rPr>
              <w:t>五金</w:t>
            </w:r>
            <w:r w:rsidR="00FB76C2" w:rsidRPr="00FB76C2">
              <w:rPr>
                <w:rFonts w:asciiTheme="minorEastAsia" w:hAnsiTheme="minorEastAsia" w:hint="eastAsia"/>
                <w:szCs w:val="21"/>
              </w:rPr>
              <w:t>龙头</w:t>
            </w:r>
            <w:r>
              <w:rPr>
                <w:rFonts w:asciiTheme="minorEastAsia" w:hAnsiTheme="minorEastAsia" w:hint="eastAsia"/>
                <w:szCs w:val="21"/>
              </w:rPr>
              <w:t>除提升既有客户的份额外，</w:t>
            </w:r>
            <w:r w:rsidR="0037146C">
              <w:rPr>
                <w:rFonts w:asciiTheme="minorEastAsia" w:hAnsiTheme="minorEastAsia" w:hint="eastAsia"/>
                <w:szCs w:val="21"/>
              </w:rPr>
              <w:t>目前已逐步渗透到其他的品牌大客户</w:t>
            </w:r>
            <w:r w:rsidR="00FB76C2" w:rsidRPr="00FB76C2">
              <w:rPr>
                <w:rFonts w:asciiTheme="minorEastAsia" w:hAnsiTheme="minorEastAsia" w:hint="eastAsia"/>
                <w:szCs w:val="21"/>
              </w:rPr>
              <w:t>；净水</w:t>
            </w:r>
            <w:r w:rsidR="0037146C">
              <w:rPr>
                <w:rFonts w:asciiTheme="minorEastAsia" w:hAnsiTheme="minorEastAsia" w:hint="eastAsia"/>
                <w:szCs w:val="21"/>
              </w:rPr>
              <w:t>既往</w:t>
            </w:r>
            <w:r w:rsidR="00FB76C2" w:rsidRPr="00FB76C2">
              <w:rPr>
                <w:rFonts w:asciiTheme="minorEastAsia" w:hAnsiTheme="minorEastAsia" w:hint="eastAsia"/>
                <w:szCs w:val="21"/>
              </w:rPr>
              <w:t>内销</w:t>
            </w:r>
            <w:r w:rsidR="0037146C">
              <w:rPr>
                <w:rFonts w:asciiTheme="minorEastAsia" w:hAnsiTheme="minorEastAsia" w:hint="eastAsia"/>
                <w:szCs w:val="21"/>
              </w:rPr>
              <w:t>为主</w:t>
            </w:r>
            <w:r w:rsidR="00FB76C2" w:rsidRPr="00FB76C2"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现在</w:t>
            </w:r>
            <w:r w:rsidR="0037146C">
              <w:rPr>
                <w:rFonts w:asciiTheme="minorEastAsia" w:hAnsiTheme="minorEastAsia" w:hint="eastAsia"/>
                <w:szCs w:val="21"/>
              </w:rPr>
              <w:t>逐步向外销延伸</w:t>
            </w:r>
            <w:r w:rsidR="00FB76C2" w:rsidRPr="00FB76C2">
              <w:rPr>
                <w:rFonts w:asciiTheme="minorEastAsia" w:hAnsiTheme="minorEastAsia" w:hint="eastAsia"/>
                <w:szCs w:val="21"/>
              </w:rPr>
              <w:t>，</w:t>
            </w:r>
            <w:r w:rsidR="0037146C">
              <w:rPr>
                <w:rFonts w:asciiTheme="minorEastAsia" w:hAnsiTheme="minorEastAsia" w:hint="eastAsia"/>
                <w:szCs w:val="21"/>
              </w:rPr>
              <w:t>从新项目的推进情况和</w:t>
            </w:r>
            <w:r w:rsidR="00FB76C2" w:rsidRPr="00FB76C2">
              <w:rPr>
                <w:rFonts w:asciiTheme="minorEastAsia" w:hAnsiTheme="minorEastAsia" w:hint="eastAsia"/>
                <w:szCs w:val="21"/>
              </w:rPr>
              <w:t>客户</w:t>
            </w:r>
            <w:r w:rsidR="0037146C">
              <w:rPr>
                <w:rFonts w:asciiTheme="minorEastAsia" w:hAnsiTheme="minorEastAsia" w:hint="eastAsia"/>
                <w:szCs w:val="21"/>
              </w:rPr>
              <w:t>反馈来看增长也比较乐观。</w:t>
            </w:r>
          </w:p>
          <w:p w14:paraId="2278621F" w14:textId="1045449E" w:rsidR="00FB76C2" w:rsidRPr="00C24BCC" w:rsidRDefault="00E5039B" w:rsidP="00FB76C2">
            <w:pPr>
              <w:pStyle w:val="af1"/>
              <w:numPr>
                <w:ilvl w:val="0"/>
                <w:numId w:val="3"/>
              </w:numPr>
              <w:spacing w:before="240" w:after="0" w:line="360" w:lineRule="exact"/>
              <w:ind w:firstLineChars="0"/>
              <w:rPr>
                <w:rFonts w:asciiTheme="minorEastAsia" w:hAnsiTheme="minorEastAsia"/>
                <w:b/>
                <w:szCs w:val="21"/>
              </w:rPr>
            </w:pPr>
            <w:r w:rsidRPr="00C24BCC">
              <w:rPr>
                <w:rFonts w:asciiTheme="minorEastAsia" w:hAnsiTheme="minorEastAsia" w:hint="eastAsia"/>
                <w:b/>
                <w:szCs w:val="21"/>
              </w:rPr>
              <w:t>公司</w:t>
            </w:r>
            <w:r w:rsidR="00C24BCC" w:rsidRPr="00C24BCC">
              <w:rPr>
                <w:rFonts w:asciiTheme="minorEastAsia" w:hAnsiTheme="minorEastAsia" w:hint="eastAsia"/>
                <w:b/>
                <w:szCs w:val="21"/>
              </w:rPr>
              <w:t>全年的分红预期如何？</w:t>
            </w:r>
          </w:p>
          <w:p w14:paraId="65C9A064" w14:textId="43168252" w:rsidR="00BA66DE" w:rsidRDefault="0030725A" w:rsidP="00EC2511">
            <w:pPr>
              <w:pStyle w:val="af1"/>
              <w:spacing w:after="0"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公司一贯维持稳定的</w:t>
            </w:r>
            <w:r w:rsidR="005469B1">
              <w:rPr>
                <w:rFonts w:asciiTheme="minorEastAsia" w:hAnsiTheme="minorEastAsia" w:hint="eastAsia"/>
                <w:szCs w:val="21"/>
              </w:rPr>
              <w:t>现金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分红政策，为</w:t>
            </w:r>
            <w:r w:rsidR="003C0F7F" w:rsidRPr="003C0F7F">
              <w:rPr>
                <w:rFonts w:asciiTheme="minorEastAsia" w:hAnsiTheme="minorEastAsia" w:hint="eastAsia"/>
                <w:szCs w:val="21"/>
              </w:rPr>
              <w:t>积极响应</w:t>
            </w:r>
            <w:r w:rsidR="003C0F7F">
              <w:rPr>
                <w:rFonts w:asciiTheme="minorEastAsia" w:hAnsiTheme="minorEastAsia" w:hint="eastAsia"/>
                <w:szCs w:val="21"/>
              </w:rPr>
              <w:t>中央精神</w:t>
            </w:r>
            <w:r w:rsidR="003C0F7F" w:rsidRPr="003C0F7F">
              <w:rPr>
                <w:rFonts w:asciiTheme="minorEastAsia" w:hAnsiTheme="minorEastAsia" w:hint="eastAsia"/>
                <w:szCs w:val="21"/>
              </w:rPr>
              <w:t>，践行“以投资者为本”的发展理念，增加分红频次，提升投资者回报水平</w:t>
            </w:r>
            <w:r>
              <w:rPr>
                <w:rFonts w:asciiTheme="minorEastAsia" w:hAnsiTheme="minorEastAsia" w:hint="eastAsia"/>
                <w:szCs w:val="21"/>
              </w:rPr>
              <w:t>，在充分评估</w:t>
            </w:r>
            <w:r w:rsidRPr="0030725A">
              <w:rPr>
                <w:rFonts w:asciiTheme="minorEastAsia" w:hAnsiTheme="minorEastAsia" w:hint="eastAsia"/>
                <w:szCs w:val="21"/>
              </w:rPr>
              <w:t>公司2024年前三季度持续盈利，经营性现金流情况稳健，满足公司经营资金需求，具备实施中期现金分红的条件</w:t>
            </w:r>
            <w:r>
              <w:rPr>
                <w:rFonts w:asciiTheme="minorEastAsia" w:hAnsiTheme="minorEastAsia" w:hint="eastAsia"/>
                <w:szCs w:val="21"/>
              </w:rPr>
              <w:t>后，拟实施本次中期分红</w:t>
            </w:r>
            <w:r w:rsidRPr="0030725A">
              <w:rPr>
                <w:rFonts w:asciiTheme="minorEastAsia" w:hAnsiTheme="minorEastAsia" w:hint="eastAsia"/>
                <w:szCs w:val="21"/>
              </w:rPr>
              <w:t>，与全体股东共享公司经营成果</w:t>
            </w:r>
            <w:r>
              <w:rPr>
                <w:rFonts w:asciiTheme="minorEastAsia" w:hAnsiTheme="minorEastAsia" w:hint="eastAsia"/>
                <w:szCs w:val="21"/>
              </w:rPr>
              <w:t>，不影响公司年度分红水平。</w:t>
            </w:r>
          </w:p>
          <w:p w14:paraId="49C1C112" w14:textId="39609489" w:rsidR="00A70788" w:rsidRPr="00354EF9" w:rsidRDefault="00A70788" w:rsidP="000947D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595644" w:rsidRPr="001D2AAA" w14:paraId="31B34D81" w14:textId="77777777" w:rsidTr="006B1862">
        <w:tc>
          <w:tcPr>
            <w:tcW w:w="1271" w:type="dxa"/>
            <w:vAlign w:val="center"/>
          </w:tcPr>
          <w:p w14:paraId="3A45A71A" w14:textId="4D191F48" w:rsidR="00595644" w:rsidRPr="00E4244E" w:rsidRDefault="009B23AF" w:rsidP="008E5FAC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9" w:type="dxa"/>
          </w:tcPr>
          <w:p w14:paraId="1D2864E4" w14:textId="4DE7C590" w:rsidR="00595644" w:rsidRPr="001D2AAA" w:rsidRDefault="008E5FAC" w:rsidP="00F223E1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</w:tr>
      <w:tr w:rsidR="009B23AF" w:rsidRPr="001D2AAA" w14:paraId="20EFF599" w14:textId="77777777" w:rsidTr="006B1862">
        <w:tc>
          <w:tcPr>
            <w:tcW w:w="1271" w:type="dxa"/>
            <w:vAlign w:val="center"/>
          </w:tcPr>
          <w:p w14:paraId="7DCAE926" w14:textId="73541765" w:rsidR="009B23AF" w:rsidRPr="00E4244E" w:rsidRDefault="009B23AF" w:rsidP="009B23AF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7659" w:type="dxa"/>
          </w:tcPr>
          <w:p w14:paraId="6C5F5941" w14:textId="711532B1" w:rsidR="009B23AF" w:rsidRPr="001D2AAA" w:rsidRDefault="00682B97" w:rsidP="00C81833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C81833">
              <w:rPr>
                <w:rFonts w:asciiTheme="minorEastAsia" w:hAnsiTheme="minorEastAsia"/>
                <w:szCs w:val="21"/>
              </w:rPr>
              <w:t>10</w:t>
            </w:r>
            <w:r w:rsidR="009B23AF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3939CD">
              <w:rPr>
                <w:rFonts w:asciiTheme="minorEastAsia" w:hAnsiTheme="minorEastAsia"/>
                <w:szCs w:val="21"/>
              </w:rPr>
              <w:t>2</w:t>
            </w:r>
            <w:r w:rsidR="00C81833">
              <w:rPr>
                <w:rFonts w:asciiTheme="minorEastAsia" w:hAnsiTheme="minorEastAsia"/>
                <w:szCs w:val="21"/>
              </w:rPr>
              <w:t>8</w:t>
            </w:r>
            <w:r w:rsidR="009B23AF" w:rsidRPr="001D2AAA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46B11D10" w14:textId="77777777" w:rsidR="00595644" w:rsidRPr="001D2AAA" w:rsidRDefault="00595644" w:rsidP="00900FD3">
      <w:pPr>
        <w:spacing w:after="0" w:line="240" w:lineRule="auto"/>
        <w:jc w:val="left"/>
        <w:rPr>
          <w:rFonts w:asciiTheme="minorEastAsia" w:hAnsiTheme="minorEastAsia"/>
          <w:szCs w:val="21"/>
        </w:rPr>
      </w:pPr>
    </w:p>
    <w:sectPr w:rsidR="00595644" w:rsidRPr="001D2AAA" w:rsidSect="004A7A47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6E376" w14:textId="77777777" w:rsidR="00257ECB" w:rsidRDefault="00257ECB"/>
  </w:endnote>
  <w:endnote w:type="continuationSeparator" w:id="0">
    <w:p w14:paraId="2C818B01" w14:textId="77777777" w:rsidR="00257ECB" w:rsidRDefault="0025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A0852" w14:textId="77777777" w:rsidR="00257ECB" w:rsidRDefault="00257ECB"/>
  </w:footnote>
  <w:footnote w:type="continuationSeparator" w:id="0">
    <w:p w14:paraId="11D4AA95" w14:textId="77777777" w:rsidR="00257ECB" w:rsidRDefault="0025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20B5"/>
    <w:multiLevelType w:val="hybridMultilevel"/>
    <w:tmpl w:val="C03C6696"/>
    <w:lvl w:ilvl="0" w:tplc="56E647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2C2C13"/>
    <w:multiLevelType w:val="hybridMultilevel"/>
    <w:tmpl w:val="7BD4F108"/>
    <w:lvl w:ilvl="0" w:tplc="D94014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836A15"/>
    <w:multiLevelType w:val="hybridMultilevel"/>
    <w:tmpl w:val="5A20F146"/>
    <w:lvl w:ilvl="0" w:tplc="6E0E8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F7"/>
    <w:rsid w:val="000010F6"/>
    <w:rsid w:val="00001D0A"/>
    <w:rsid w:val="000023F6"/>
    <w:rsid w:val="00002751"/>
    <w:rsid w:val="00002CD3"/>
    <w:rsid w:val="00002DF6"/>
    <w:rsid w:val="00002E36"/>
    <w:rsid w:val="000050B4"/>
    <w:rsid w:val="0000561C"/>
    <w:rsid w:val="00005A70"/>
    <w:rsid w:val="00007B5B"/>
    <w:rsid w:val="00007B68"/>
    <w:rsid w:val="00007CFF"/>
    <w:rsid w:val="00011324"/>
    <w:rsid w:val="00012CF0"/>
    <w:rsid w:val="00013FE3"/>
    <w:rsid w:val="0001530A"/>
    <w:rsid w:val="00015DA9"/>
    <w:rsid w:val="00022011"/>
    <w:rsid w:val="00024653"/>
    <w:rsid w:val="000255CC"/>
    <w:rsid w:val="00025D81"/>
    <w:rsid w:val="00030921"/>
    <w:rsid w:val="00031303"/>
    <w:rsid w:val="0003265E"/>
    <w:rsid w:val="000357D5"/>
    <w:rsid w:val="000360D4"/>
    <w:rsid w:val="000407E1"/>
    <w:rsid w:val="00041D2B"/>
    <w:rsid w:val="00041D4C"/>
    <w:rsid w:val="00042140"/>
    <w:rsid w:val="00044F46"/>
    <w:rsid w:val="00045090"/>
    <w:rsid w:val="00045163"/>
    <w:rsid w:val="00046DC7"/>
    <w:rsid w:val="00046EDC"/>
    <w:rsid w:val="00046F57"/>
    <w:rsid w:val="00050629"/>
    <w:rsid w:val="000510F6"/>
    <w:rsid w:val="00052967"/>
    <w:rsid w:val="0005337C"/>
    <w:rsid w:val="00054102"/>
    <w:rsid w:val="00055012"/>
    <w:rsid w:val="00055AE0"/>
    <w:rsid w:val="00055AF2"/>
    <w:rsid w:val="00061E47"/>
    <w:rsid w:val="00063ED9"/>
    <w:rsid w:val="00065A14"/>
    <w:rsid w:val="00066036"/>
    <w:rsid w:val="000664B1"/>
    <w:rsid w:val="0006679A"/>
    <w:rsid w:val="00067483"/>
    <w:rsid w:val="00071D6F"/>
    <w:rsid w:val="00072C6C"/>
    <w:rsid w:val="00072EB9"/>
    <w:rsid w:val="00074B2A"/>
    <w:rsid w:val="00075429"/>
    <w:rsid w:val="000768D6"/>
    <w:rsid w:val="00076E14"/>
    <w:rsid w:val="00077E23"/>
    <w:rsid w:val="00082289"/>
    <w:rsid w:val="0008526D"/>
    <w:rsid w:val="00085D3F"/>
    <w:rsid w:val="000924E3"/>
    <w:rsid w:val="000947DB"/>
    <w:rsid w:val="00095DD9"/>
    <w:rsid w:val="000967BD"/>
    <w:rsid w:val="000A0F08"/>
    <w:rsid w:val="000A1185"/>
    <w:rsid w:val="000A2FAB"/>
    <w:rsid w:val="000A3495"/>
    <w:rsid w:val="000A4400"/>
    <w:rsid w:val="000A702E"/>
    <w:rsid w:val="000B1F6F"/>
    <w:rsid w:val="000B5E0A"/>
    <w:rsid w:val="000B689D"/>
    <w:rsid w:val="000B759A"/>
    <w:rsid w:val="000C26C6"/>
    <w:rsid w:val="000C3EF8"/>
    <w:rsid w:val="000C40B7"/>
    <w:rsid w:val="000C5D5C"/>
    <w:rsid w:val="000C6873"/>
    <w:rsid w:val="000C76FF"/>
    <w:rsid w:val="000D077F"/>
    <w:rsid w:val="000D24CF"/>
    <w:rsid w:val="000D312A"/>
    <w:rsid w:val="000D617B"/>
    <w:rsid w:val="000D69DC"/>
    <w:rsid w:val="000D7AA7"/>
    <w:rsid w:val="000E238E"/>
    <w:rsid w:val="000E2D4E"/>
    <w:rsid w:val="000E4799"/>
    <w:rsid w:val="000E4D33"/>
    <w:rsid w:val="000E4D98"/>
    <w:rsid w:val="000E70CA"/>
    <w:rsid w:val="000E77F5"/>
    <w:rsid w:val="000F07C1"/>
    <w:rsid w:val="000F14C7"/>
    <w:rsid w:val="000F1F5E"/>
    <w:rsid w:val="000F2B84"/>
    <w:rsid w:val="000F3517"/>
    <w:rsid w:val="000F5ED6"/>
    <w:rsid w:val="000F7478"/>
    <w:rsid w:val="00100B62"/>
    <w:rsid w:val="00101418"/>
    <w:rsid w:val="0010184F"/>
    <w:rsid w:val="00101AD8"/>
    <w:rsid w:val="00102290"/>
    <w:rsid w:val="00103659"/>
    <w:rsid w:val="00103C0F"/>
    <w:rsid w:val="0010424D"/>
    <w:rsid w:val="001059DB"/>
    <w:rsid w:val="0010619D"/>
    <w:rsid w:val="00107BB6"/>
    <w:rsid w:val="00107DF0"/>
    <w:rsid w:val="00110122"/>
    <w:rsid w:val="001107DA"/>
    <w:rsid w:val="00110BD2"/>
    <w:rsid w:val="00110C54"/>
    <w:rsid w:val="00111400"/>
    <w:rsid w:val="00111AB0"/>
    <w:rsid w:val="00111D23"/>
    <w:rsid w:val="001135D7"/>
    <w:rsid w:val="0011572E"/>
    <w:rsid w:val="00116ED4"/>
    <w:rsid w:val="001172DE"/>
    <w:rsid w:val="0012042F"/>
    <w:rsid w:val="00120C70"/>
    <w:rsid w:val="001223A0"/>
    <w:rsid w:val="00122897"/>
    <w:rsid w:val="00122E65"/>
    <w:rsid w:val="0012309B"/>
    <w:rsid w:val="00124829"/>
    <w:rsid w:val="00125372"/>
    <w:rsid w:val="00126039"/>
    <w:rsid w:val="0012770E"/>
    <w:rsid w:val="0013006E"/>
    <w:rsid w:val="00130377"/>
    <w:rsid w:val="00136646"/>
    <w:rsid w:val="0014042A"/>
    <w:rsid w:val="00140C28"/>
    <w:rsid w:val="00140D5E"/>
    <w:rsid w:val="00143F7A"/>
    <w:rsid w:val="00145C71"/>
    <w:rsid w:val="0015190A"/>
    <w:rsid w:val="001533A9"/>
    <w:rsid w:val="00154398"/>
    <w:rsid w:val="0015485F"/>
    <w:rsid w:val="00154D2D"/>
    <w:rsid w:val="00155583"/>
    <w:rsid w:val="001559FD"/>
    <w:rsid w:val="001573CA"/>
    <w:rsid w:val="001605C5"/>
    <w:rsid w:val="00160DD1"/>
    <w:rsid w:val="0016266F"/>
    <w:rsid w:val="00163CD6"/>
    <w:rsid w:val="00166BF4"/>
    <w:rsid w:val="00170B96"/>
    <w:rsid w:val="001722A9"/>
    <w:rsid w:val="001729F5"/>
    <w:rsid w:val="00172B5D"/>
    <w:rsid w:val="00175304"/>
    <w:rsid w:val="00176454"/>
    <w:rsid w:val="00176462"/>
    <w:rsid w:val="0018056F"/>
    <w:rsid w:val="00181D77"/>
    <w:rsid w:val="00181FCC"/>
    <w:rsid w:val="00186834"/>
    <w:rsid w:val="00186B56"/>
    <w:rsid w:val="00186F4F"/>
    <w:rsid w:val="00187275"/>
    <w:rsid w:val="00190EB1"/>
    <w:rsid w:val="001924D8"/>
    <w:rsid w:val="00192DC0"/>
    <w:rsid w:val="00194517"/>
    <w:rsid w:val="00194E01"/>
    <w:rsid w:val="00195EE4"/>
    <w:rsid w:val="00195F6A"/>
    <w:rsid w:val="00197B61"/>
    <w:rsid w:val="001A1A58"/>
    <w:rsid w:val="001A1BC9"/>
    <w:rsid w:val="001A2334"/>
    <w:rsid w:val="001A23A4"/>
    <w:rsid w:val="001A2C47"/>
    <w:rsid w:val="001A4AA7"/>
    <w:rsid w:val="001A6699"/>
    <w:rsid w:val="001A6B12"/>
    <w:rsid w:val="001B2721"/>
    <w:rsid w:val="001B2CD6"/>
    <w:rsid w:val="001B3273"/>
    <w:rsid w:val="001B5821"/>
    <w:rsid w:val="001B7500"/>
    <w:rsid w:val="001C0C91"/>
    <w:rsid w:val="001C1481"/>
    <w:rsid w:val="001C2906"/>
    <w:rsid w:val="001C3992"/>
    <w:rsid w:val="001C4D3F"/>
    <w:rsid w:val="001C6024"/>
    <w:rsid w:val="001D13F9"/>
    <w:rsid w:val="001D2AAA"/>
    <w:rsid w:val="001D3520"/>
    <w:rsid w:val="001D3CEF"/>
    <w:rsid w:val="001D41C6"/>
    <w:rsid w:val="001D4981"/>
    <w:rsid w:val="001D53D5"/>
    <w:rsid w:val="001D5BF0"/>
    <w:rsid w:val="001D70AC"/>
    <w:rsid w:val="001D7425"/>
    <w:rsid w:val="001D7F86"/>
    <w:rsid w:val="001E1147"/>
    <w:rsid w:val="001E18EA"/>
    <w:rsid w:val="001E2C25"/>
    <w:rsid w:val="001E38C2"/>
    <w:rsid w:val="001E3B0E"/>
    <w:rsid w:val="001E45A7"/>
    <w:rsid w:val="001E4982"/>
    <w:rsid w:val="001F13B7"/>
    <w:rsid w:val="001F161E"/>
    <w:rsid w:val="001F24FB"/>
    <w:rsid w:val="001F362E"/>
    <w:rsid w:val="001F5AD2"/>
    <w:rsid w:val="001F6ABA"/>
    <w:rsid w:val="001F70B4"/>
    <w:rsid w:val="001F7E50"/>
    <w:rsid w:val="00201A81"/>
    <w:rsid w:val="0020228A"/>
    <w:rsid w:val="002025CB"/>
    <w:rsid w:val="00202E29"/>
    <w:rsid w:val="0020307F"/>
    <w:rsid w:val="00203688"/>
    <w:rsid w:val="00205617"/>
    <w:rsid w:val="002057D5"/>
    <w:rsid w:val="0021275E"/>
    <w:rsid w:val="00212D06"/>
    <w:rsid w:val="00215976"/>
    <w:rsid w:val="002168E1"/>
    <w:rsid w:val="00217A05"/>
    <w:rsid w:val="00222DC3"/>
    <w:rsid w:val="00223AAC"/>
    <w:rsid w:val="002269B5"/>
    <w:rsid w:val="00226F6F"/>
    <w:rsid w:val="0022722B"/>
    <w:rsid w:val="0023142C"/>
    <w:rsid w:val="0023146E"/>
    <w:rsid w:val="0023172F"/>
    <w:rsid w:val="00232E24"/>
    <w:rsid w:val="0023312D"/>
    <w:rsid w:val="002334FB"/>
    <w:rsid w:val="002338AE"/>
    <w:rsid w:val="002361F0"/>
    <w:rsid w:val="002371ED"/>
    <w:rsid w:val="0024041A"/>
    <w:rsid w:val="002413A3"/>
    <w:rsid w:val="00241A2B"/>
    <w:rsid w:val="00242246"/>
    <w:rsid w:val="00242D36"/>
    <w:rsid w:val="0024313B"/>
    <w:rsid w:val="0024338B"/>
    <w:rsid w:val="002445EE"/>
    <w:rsid w:val="00244BB7"/>
    <w:rsid w:val="00245195"/>
    <w:rsid w:val="0024568A"/>
    <w:rsid w:val="002462A8"/>
    <w:rsid w:val="00247A7A"/>
    <w:rsid w:val="00251D8C"/>
    <w:rsid w:val="00253ABF"/>
    <w:rsid w:val="00254B23"/>
    <w:rsid w:val="00257678"/>
    <w:rsid w:val="00257987"/>
    <w:rsid w:val="00257ECB"/>
    <w:rsid w:val="00260FEE"/>
    <w:rsid w:val="00261C9C"/>
    <w:rsid w:val="00262112"/>
    <w:rsid w:val="0026421B"/>
    <w:rsid w:val="00264ABC"/>
    <w:rsid w:val="00266CAE"/>
    <w:rsid w:val="00270103"/>
    <w:rsid w:val="00270250"/>
    <w:rsid w:val="002702CA"/>
    <w:rsid w:val="00273019"/>
    <w:rsid w:val="00274986"/>
    <w:rsid w:val="00274B88"/>
    <w:rsid w:val="00275109"/>
    <w:rsid w:val="00276D4C"/>
    <w:rsid w:val="002774CF"/>
    <w:rsid w:val="002803C3"/>
    <w:rsid w:val="00281001"/>
    <w:rsid w:val="00282425"/>
    <w:rsid w:val="00282A24"/>
    <w:rsid w:val="00283F80"/>
    <w:rsid w:val="002854AF"/>
    <w:rsid w:val="00285A40"/>
    <w:rsid w:val="00286174"/>
    <w:rsid w:val="002865B6"/>
    <w:rsid w:val="002868B3"/>
    <w:rsid w:val="00287140"/>
    <w:rsid w:val="002902CE"/>
    <w:rsid w:val="00290351"/>
    <w:rsid w:val="0029108F"/>
    <w:rsid w:val="00291CCD"/>
    <w:rsid w:val="00293F8A"/>
    <w:rsid w:val="002945E9"/>
    <w:rsid w:val="002950F8"/>
    <w:rsid w:val="002979AC"/>
    <w:rsid w:val="002A3593"/>
    <w:rsid w:val="002A3DED"/>
    <w:rsid w:val="002A438D"/>
    <w:rsid w:val="002A482B"/>
    <w:rsid w:val="002A6707"/>
    <w:rsid w:val="002A6DF7"/>
    <w:rsid w:val="002A7501"/>
    <w:rsid w:val="002B2171"/>
    <w:rsid w:val="002B3B74"/>
    <w:rsid w:val="002B4CC8"/>
    <w:rsid w:val="002B4D45"/>
    <w:rsid w:val="002B51F5"/>
    <w:rsid w:val="002B525D"/>
    <w:rsid w:val="002B7C40"/>
    <w:rsid w:val="002C13C0"/>
    <w:rsid w:val="002C2F4E"/>
    <w:rsid w:val="002C48BF"/>
    <w:rsid w:val="002C59BD"/>
    <w:rsid w:val="002C6366"/>
    <w:rsid w:val="002C6D1E"/>
    <w:rsid w:val="002C7077"/>
    <w:rsid w:val="002C7B10"/>
    <w:rsid w:val="002D04E5"/>
    <w:rsid w:val="002D28A2"/>
    <w:rsid w:val="002D3402"/>
    <w:rsid w:val="002D3665"/>
    <w:rsid w:val="002D5EAA"/>
    <w:rsid w:val="002E3829"/>
    <w:rsid w:val="002E51CD"/>
    <w:rsid w:val="002E6ABC"/>
    <w:rsid w:val="002E7275"/>
    <w:rsid w:val="002F01A8"/>
    <w:rsid w:val="002F0EE8"/>
    <w:rsid w:val="002F328C"/>
    <w:rsid w:val="002F457D"/>
    <w:rsid w:val="002F634D"/>
    <w:rsid w:val="002F6C43"/>
    <w:rsid w:val="002F6E48"/>
    <w:rsid w:val="00301531"/>
    <w:rsid w:val="003015E4"/>
    <w:rsid w:val="00301E5F"/>
    <w:rsid w:val="00302DD7"/>
    <w:rsid w:val="0030372C"/>
    <w:rsid w:val="003050B2"/>
    <w:rsid w:val="00305B45"/>
    <w:rsid w:val="003064DA"/>
    <w:rsid w:val="00306C57"/>
    <w:rsid w:val="0030725A"/>
    <w:rsid w:val="003076FE"/>
    <w:rsid w:val="0031011A"/>
    <w:rsid w:val="003107FB"/>
    <w:rsid w:val="0031191B"/>
    <w:rsid w:val="00312C9F"/>
    <w:rsid w:val="003174C6"/>
    <w:rsid w:val="00320C4A"/>
    <w:rsid w:val="0032208B"/>
    <w:rsid w:val="003220D0"/>
    <w:rsid w:val="0032420D"/>
    <w:rsid w:val="00325BED"/>
    <w:rsid w:val="00326107"/>
    <w:rsid w:val="00326464"/>
    <w:rsid w:val="00326AF8"/>
    <w:rsid w:val="00331977"/>
    <w:rsid w:val="003320E4"/>
    <w:rsid w:val="00332168"/>
    <w:rsid w:val="00334E63"/>
    <w:rsid w:val="00335789"/>
    <w:rsid w:val="003359D6"/>
    <w:rsid w:val="003365E4"/>
    <w:rsid w:val="00337D25"/>
    <w:rsid w:val="003402FC"/>
    <w:rsid w:val="0034205E"/>
    <w:rsid w:val="0034386C"/>
    <w:rsid w:val="00344028"/>
    <w:rsid w:val="003441A2"/>
    <w:rsid w:val="003447B3"/>
    <w:rsid w:val="00345BEF"/>
    <w:rsid w:val="003465B2"/>
    <w:rsid w:val="003511AD"/>
    <w:rsid w:val="0035193F"/>
    <w:rsid w:val="00352F44"/>
    <w:rsid w:val="0035309C"/>
    <w:rsid w:val="00354C94"/>
    <w:rsid w:val="00354EF9"/>
    <w:rsid w:val="00355AB7"/>
    <w:rsid w:val="003560EB"/>
    <w:rsid w:val="00356701"/>
    <w:rsid w:val="003568E5"/>
    <w:rsid w:val="003576C3"/>
    <w:rsid w:val="003622A8"/>
    <w:rsid w:val="00362EB4"/>
    <w:rsid w:val="003632A2"/>
    <w:rsid w:val="00363838"/>
    <w:rsid w:val="00363DE7"/>
    <w:rsid w:val="003651AA"/>
    <w:rsid w:val="00366FBD"/>
    <w:rsid w:val="003673AB"/>
    <w:rsid w:val="003678FE"/>
    <w:rsid w:val="00367DB6"/>
    <w:rsid w:val="0037146C"/>
    <w:rsid w:val="003723E1"/>
    <w:rsid w:val="003746DA"/>
    <w:rsid w:val="00374EFF"/>
    <w:rsid w:val="003750E0"/>
    <w:rsid w:val="00376704"/>
    <w:rsid w:val="0037695E"/>
    <w:rsid w:val="003770A2"/>
    <w:rsid w:val="00381011"/>
    <w:rsid w:val="003813FD"/>
    <w:rsid w:val="00381A29"/>
    <w:rsid w:val="003824C8"/>
    <w:rsid w:val="00382608"/>
    <w:rsid w:val="0038269F"/>
    <w:rsid w:val="003827A8"/>
    <w:rsid w:val="00385738"/>
    <w:rsid w:val="00385FC0"/>
    <w:rsid w:val="003864E2"/>
    <w:rsid w:val="00386B3A"/>
    <w:rsid w:val="0038748C"/>
    <w:rsid w:val="0039040F"/>
    <w:rsid w:val="00390F27"/>
    <w:rsid w:val="0039146B"/>
    <w:rsid w:val="003939CD"/>
    <w:rsid w:val="00394E60"/>
    <w:rsid w:val="00395945"/>
    <w:rsid w:val="003975FE"/>
    <w:rsid w:val="003A1BB3"/>
    <w:rsid w:val="003A3DB1"/>
    <w:rsid w:val="003A40B4"/>
    <w:rsid w:val="003A6861"/>
    <w:rsid w:val="003A6B93"/>
    <w:rsid w:val="003A797C"/>
    <w:rsid w:val="003B0154"/>
    <w:rsid w:val="003B0EAA"/>
    <w:rsid w:val="003B2026"/>
    <w:rsid w:val="003B21E2"/>
    <w:rsid w:val="003B310D"/>
    <w:rsid w:val="003B3D18"/>
    <w:rsid w:val="003B6B3E"/>
    <w:rsid w:val="003C0260"/>
    <w:rsid w:val="003C0F7F"/>
    <w:rsid w:val="003C2126"/>
    <w:rsid w:val="003C2476"/>
    <w:rsid w:val="003C25A0"/>
    <w:rsid w:val="003C3168"/>
    <w:rsid w:val="003C50B7"/>
    <w:rsid w:val="003D0C13"/>
    <w:rsid w:val="003D3FF8"/>
    <w:rsid w:val="003D7150"/>
    <w:rsid w:val="003D7818"/>
    <w:rsid w:val="003E0173"/>
    <w:rsid w:val="003E381C"/>
    <w:rsid w:val="003E3C09"/>
    <w:rsid w:val="003E3F69"/>
    <w:rsid w:val="003E4561"/>
    <w:rsid w:val="003E52C1"/>
    <w:rsid w:val="003E57C9"/>
    <w:rsid w:val="003E5D0D"/>
    <w:rsid w:val="003E6331"/>
    <w:rsid w:val="003E65FB"/>
    <w:rsid w:val="003E7C1B"/>
    <w:rsid w:val="003F06A6"/>
    <w:rsid w:val="003F10FF"/>
    <w:rsid w:val="003F120E"/>
    <w:rsid w:val="003F12E3"/>
    <w:rsid w:val="003F3D08"/>
    <w:rsid w:val="003F58F3"/>
    <w:rsid w:val="003F6458"/>
    <w:rsid w:val="003F6E4E"/>
    <w:rsid w:val="00403F7B"/>
    <w:rsid w:val="00404CF3"/>
    <w:rsid w:val="004053C7"/>
    <w:rsid w:val="00407E72"/>
    <w:rsid w:val="0041209C"/>
    <w:rsid w:val="0041277E"/>
    <w:rsid w:val="00413508"/>
    <w:rsid w:val="0041460E"/>
    <w:rsid w:val="00414622"/>
    <w:rsid w:val="00414B67"/>
    <w:rsid w:val="0041696B"/>
    <w:rsid w:val="00422E6C"/>
    <w:rsid w:val="004257A3"/>
    <w:rsid w:val="00427951"/>
    <w:rsid w:val="00427990"/>
    <w:rsid w:val="00430571"/>
    <w:rsid w:val="0043277C"/>
    <w:rsid w:val="00432E77"/>
    <w:rsid w:val="004334E5"/>
    <w:rsid w:val="0043356C"/>
    <w:rsid w:val="00435B63"/>
    <w:rsid w:val="004366A2"/>
    <w:rsid w:val="00440067"/>
    <w:rsid w:val="0044029E"/>
    <w:rsid w:val="00443195"/>
    <w:rsid w:val="0044340F"/>
    <w:rsid w:val="004452B7"/>
    <w:rsid w:val="00445EB3"/>
    <w:rsid w:val="00445FFC"/>
    <w:rsid w:val="004462B1"/>
    <w:rsid w:val="00446D67"/>
    <w:rsid w:val="00447178"/>
    <w:rsid w:val="0045209E"/>
    <w:rsid w:val="00452CAA"/>
    <w:rsid w:val="00456177"/>
    <w:rsid w:val="004563E6"/>
    <w:rsid w:val="00457016"/>
    <w:rsid w:val="00460D39"/>
    <w:rsid w:val="004633C4"/>
    <w:rsid w:val="004633FD"/>
    <w:rsid w:val="00465E73"/>
    <w:rsid w:val="0046636C"/>
    <w:rsid w:val="00467A01"/>
    <w:rsid w:val="00470DCB"/>
    <w:rsid w:val="0047198E"/>
    <w:rsid w:val="004721A5"/>
    <w:rsid w:val="004728D2"/>
    <w:rsid w:val="00472C6C"/>
    <w:rsid w:val="0047354C"/>
    <w:rsid w:val="00473A83"/>
    <w:rsid w:val="00473F50"/>
    <w:rsid w:val="00474F3D"/>
    <w:rsid w:val="00482821"/>
    <w:rsid w:val="0048309C"/>
    <w:rsid w:val="00483A29"/>
    <w:rsid w:val="00483C6D"/>
    <w:rsid w:val="00484490"/>
    <w:rsid w:val="00484CAA"/>
    <w:rsid w:val="0048546D"/>
    <w:rsid w:val="0048604A"/>
    <w:rsid w:val="00487A1D"/>
    <w:rsid w:val="004906A0"/>
    <w:rsid w:val="0049179E"/>
    <w:rsid w:val="00491BC4"/>
    <w:rsid w:val="0049327C"/>
    <w:rsid w:val="004946E2"/>
    <w:rsid w:val="00495A1C"/>
    <w:rsid w:val="00495AA4"/>
    <w:rsid w:val="0049604A"/>
    <w:rsid w:val="00497462"/>
    <w:rsid w:val="004A06F2"/>
    <w:rsid w:val="004A1B1C"/>
    <w:rsid w:val="004A1D82"/>
    <w:rsid w:val="004A4DE0"/>
    <w:rsid w:val="004A6711"/>
    <w:rsid w:val="004A7559"/>
    <w:rsid w:val="004A7A47"/>
    <w:rsid w:val="004B0464"/>
    <w:rsid w:val="004B0D3D"/>
    <w:rsid w:val="004B3658"/>
    <w:rsid w:val="004B3BA9"/>
    <w:rsid w:val="004B6EA5"/>
    <w:rsid w:val="004B725B"/>
    <w:rsid w:val="004C08B9"/>
    <w:rsid w:val="004C0F7D"/>
    <w:rsid w:val="004C5A89"/>
    <w:rsid w:val="004C692A"/>
    <w:rsid w:val="004C6D1E"/>
    <w:rsid w:val="004C78F7"/>
    <w:rsid w:val="004D1419"/>
    <w:rsid w:val="004D22C9"/>
    <w:rsid w:val="004E1B88"/>
    <w:rsid w:val="004E1D18"/>
    <w:rsid w:val="004E40BD"/>
    <w:rsid w:val="004E5344"/>
    <w:rsid w:val="004E5701"/>
    <w:rsid w:val="004E58DC"/>
    <w:rsid w:val="004F240C"/>
    <w:rsid w:val="004F5B2A"/>
    <w:rsid w:val="005005DA"/>
    <w:rsid w:val="00501176"/>
    <w:rsid w:val="00505850"/>
    <w:rsid w:val="005063F3"/>
    <w:rsid w:val="005065CC"/>
    <w:rsid w:val="00506CE7"/>
    <w:rsid w:val="005071F9"/>
    <w:rsid w:val="00512AB5"/>
    <w:rsid w:val="0051342B"/>
    <w:rsid w:val="0051346C"/>
    <w:rsid w:val="0051482F"/>
    <w:rsid w:val="00514A90"/>
    <w:rsid w:val="00514ECB"/>
    <w:rsid w:val="005164B0"/>
    <w:rsid w:val="005164BF"/>
    <w:rsid w:val="005171F3"/>
    <w:rsid w:val="00517627"/>
    <w:rsid w:val="00520155"/>
    <w:rsid w:val="00523EDC"/>
    <w:rsid w:val="005257B6"/>
    <w:rsid w:val="0052704D"/>
    <w:rsid w:val="00530CF1"/>
    <w:rsid w:val="005311E4"/>
    <w:rsid w:val="00531BA4"/>
    <w:rsid w:val="005330B2"/>
    <w:rsid w:val="005339F2"/>
    <w:rsid w:val="00534E6E"/>
    <w:rsid w:val="005374CC"/>
    <w:rsid w:val="005408AB"/>
    <w:rsid w:val="00542915"/>
    <w:rsid w:val="005469B1"/>
    <w:rsid w:val="00546C4A"/>
    <w:rsid w:val="0055010A"/>
    <w:rsid w:val="00550BDF"/>
    <w:rsid w:val="0055150E"/>
    <w:rsid w:val="005537E4"/>
    <w:rsid w:val="00553FE0"/>
    <w:rsid w:val="00561927"/>
    <w:rsid w:val="00561AD8"/>
    <w:rsid w:val="00561D5A"/>
    <w:rsid w:val="00562047"/>
    <w:rsid w:val="005624A3"/>
    <w:rsid w:val="00562995"/>
    <w:rsid w:val="0056465E"/>
    <w:rsid w:val="005646B4"/>
    <w:rsid w:val="00565362"/>
    <w:rsid w:val="00567736"/>
    <w:rsid w:val="00572275"/>
    <w:rsid w:val="00572AD4"/>
    <w:rsid w:val="00572C9F"/>
    <w:rsid w:val="00573409"/>
    <w:rsid w:val="00573A55"/>
    <w:rsid w:val="00575078"/>
    <w:rsid w:val="00576D7F"/>
    <w:rsid w:val="005772B9"/>
    <w:rsid w:val="00577C8F"/>
    <w:rsid w:val="00580ED5"/>
    <w:rsid w:val="005817AF"/>
    <w:rsid w:val="00581F31"/>
    <w:rsid w:val="00583614"/>
    <w:rsid w:val="0058594E"/>
    <w:rsid w:val="005859BA"/>
    <w:rsid w:val="00587080"/>
    <w:rsid w:val="00587C9A"/>
    <w:rsid w:val="0059055F"/>
    <w:rsid w:val="005915E5"/>
    <w:rsid w:val="005938EA"/>
    <w:rsid w:val="00595385"/>
    <w:rsid w:val="00595644"/>
    <w:rsid w:val="00595990"/>
    <w:rsid w:val="00595CEA"/>
    <w:rsid w:val="00596723"/>
    <w:rsid w:val="005978DC"/>
    <w:rsid w:val="00597930"/>
    <w:rsid w:val="005A0BBF"/>
    <w:rsid w:val="005A1841"/>
    <w:rsid w:val="005A23AD"/>
    <w:rsid w:val="005A29CC"/>
    <w:rsid w:val="005A2FD2"/>
    <w:rsid w:val="005A3307"/>
    <w:rsid w:val="005A3904"/>
    <w:rsid w:val="005A43CD"/>
    <w:rsid w:val="005A4EC7"/>
    <w:rsid w:val="005A4ED4"/>
    <w:rsid w:val="005A7AA3"/>
    <w:rsid w:val="005A7FE0"/>
    <w:rsid w:val="005B0816"/>
    <w:rsid w:val="005B2CD9"/>
    <w:rsid w:val="005B38A6"/>
    <w:rsid w:val="005B3BA7"/>
    <w:rsid w:val="005B3CE0"/>
    <w:rsid w:val="005C0731"/>
    <w:rsid w:val="005C183D"/>
    <w:rsid w:val="005C37C9"/>
    <w:rsid w:val="005C62DC"/>
    <w:rsid w:val="005C6BF8"/>
    <w:rsid w:val="005C708E"/>
    <w:rsid w:val="005C7BCF"/>
    <w:rsid w:val="005D1EB3"/>
    <w:rsid w:val="005D34B9"/>
    <w:rsid w:val="005D442D"/>
    <w:rsid w:val="005D568E"/>
    <w:rsid w:val="005D5994"/>
    <w:rsid w:val="005D7C58"/>
    <w:rsid w:val="005D7C5C"/>
    <w:rsid w:val="005E0692"/>
    <w:rsid w:val="005E1079"/>
    <w:rsid w:val="005E17D2"/>
    <w:rsid w:val="005E2BC2"/>
    <w:rsid w:val="005E30AF"/>
    <w:rsid w:val="005E4274"/>
    <w:rsid w:val="005E641D"/>
    <w:rsid w:val="005F1DE6"/>
    <w:rsid w:val="005F1EDC"/>
    <w:rsid w:val="005F277E"/>
    <w:rsid w:val="005F2A48"/>
    <w:rsid w:val="005F3375"/>
    <w:rsid w:val="005F3620"/>
    <w:rsid w:val="005F37EC"/>
    <w:rsid w:val="005F4EFB"/>
    <w:rsid w:val="005F5A24"/>
    <w:rsid w:val="005F7B8B"/>
    <w:rsid w:val="00600AB1"/>
    <w:rsid w:val="00601963"/>
    <w:rsid w:val="00602818"/>
    <w:rsid w:val="0060297E"/>
    <w:rsid w:val="00602B86"/>
    <w:rsid w:val="00603E99"/>
    <w:rsid w:val="006061DF"/>
    <w:rsid w:val="0060627A"/>
    <w:rsid w:val="006069C3"/>
    <w:rsid w:val="00607A50"/>
    <w:rsid w:val="00607C04"/>
    <w:rsid w:val="00611C2D"/>
    <w:rsid w:val="00612012"/>
    <w:rsid w:val="0061214F"/>
    <w:rsid w:val="0061270C"/>
    <w:rsid w:val="00613C24"/>
    <w:rsid w:val="00614235"/>
    <w:rsid w:val="0061635F"/>
    <w:rsid w:val="00616680"/>
    <w:rsid w:val="00616BCD"/>
    <w:rsid w:val="00617012"/>
    <w:rsid w:val="00617768"/>
    <w:rsid w:val="00621AA4"/>
    <w:rsid w:val="00621F21"/>
    <w:rsid w:val="00622CA7"/>
    <w:rsid w:val="00623697"/>
    <w:rsid w:val="006236C1"/>
    <w:rsid w:val="00623C23"/>
    <w:rsid w:val="00624BD3"/>
    <w:rsid w:val="006253B8"/>
    <w:rsid w:val="006263C4"/>
    <w:rsid w:val="00631F37"/>
    <w:rsid w:val="00632AD2"/>
    <w:rsid w:val="00632DED"/>
    <w:rsid w:val="00634ED4"/>
    <w:rsid w:val="00635737"/>
    <w:rsid w:val="006377A8"/>
    <w:rsid w:val="00641152"/>
    <w:rsid w:val="00644DD8"/>
    <w:rsid w:val="00647932"/>
    <w:rsid w:val="00647B7B"/>
    <w:rsid w:val="00650584"/>
    <w:rsid w:val="00650B0A"/>
    <w:rsid w:val="006511AF"/>
    <w:rsid w:val="00651756"/>
    <w:rsid w:val="00652E4C"/>
    <w:rsid w:val="00653A94"/>
    <w:rsid w:val="00653FD4"/>
    <w:rsid w:val="00654368"/>
    <w:rsid w:val="006558F3"/>
    <w:rsid w:val="006645A7"/>
    <w:rsid w:val="00665F33"/>
    <w:rsid w:val="00665F93"/>
    <w:rsid w:val="00667D62"/>
    <w:rsid w:val="006706E3"/>
    <w:rsid w:val="00671787"/>
    <w:rsid w:val="0067346D"/>
    <w:rsid w:val="006740E6"/>
    <w:rsid w:val="006774C3"/>
    <w:rsid w:val="00677661"/>
    <w:rsid w:val="0068001E"/>
    <w:rsid w:val="00680072"/>
    <w:rsid w:val="006805E3"/>
    <w:rsid w:val="0068113B"/>
    <w:rsid w:val="00681306"/>
    <w:rsid w:val="00682066"/>
    <w:rsid w:val="00682B97"/>
    <w:rsid w:val="006835D6"/>
    <w:rsid w:val="00684E89"/>
    <w:rsid w:val="00685BC6"/>
    <w:rsid w:val="006861AB"/>
    <w:rsid w:val="006865F3"/>
    <w:rsid w:val="006869D6"/>
    <w:rsid w:val="00686B7E"/>
    <w:rsid w:val="00686C5A"/>
    <w:rsid w:val="00687299"/>
    <w:rsid w:val="006879C7"/>
    <w:rsid w:val="00690828"/>
    <w:rsid w:val="00692125"/>
    <w:rsid w:val="00692819"/>
    <w:rsid w:val="00696448"/>
    <w:rsid w:val="006A1189"/>
    <w:rsid w:val="006A1495"/>
    <w:rsid w:val="006A234D"/>
    <w:rsid w:val="006A2571"/>
    <w:rsid w:val="006A2792"/>
    <w:rsid w:val="006A2A37"/>
    <w:rsid w:val="006A43B7"/>
    <w:rsid w:val="006A4C55"/>
    <w:rsid w:val="006A656C"/>
    <w:rsid w:val="006A6C51"/>
    <w:rsid w:val="006B04CF"/>
    <w:rsid w:val="006B1862"/>
    <w:rsid w:val="006B1996"/>
    <w:rsid w:val="006B2817"/>
    <w:rsid w:val="006B349E"/>
    <w:rsid w:val="006B376E"/>
    <w:rsid w:val="006B59D6"/>
    <w:rsid w:val="006B6D04"/>
    <w:rsid w:val="006B7353"/>
    <w:rsid w:val="006B7D4C"/>
    <w:rsid w:val="006C20B9"/>
    <w:rsid w:val="006C29CB"/>
    <w:rsid w:val="006C404C"/>
    <w:rsid w:val="006C4698"/>
    <w:rsid w:val="006C48F8"/>
    <w:rsid w:val="006C54A3"/>
    <w:rsid w:val="006D0538"/>
    <w:rsid w:val="006D0FB6"/>
    <w:rsid w:val="006D1631"/>
    <w:rsid w:val="006D17E3"/>
    <w:rsid w:val="006D2610"/>
    <w:rsid w:val="006D2A0E"/>
    <w:rsid w:val="006D3D0F"/>
    <w:rsid w:val="006D510B"/>
    <w:rsid w:val="006E03FC"/>
    <w:rsid w:val="006E4A6D"/>
    <w:rsid w:val="006E587F"/>
    <w:rsid w:val="006E5E77"/>
    <w:rsid w:val="006E6997"/>
    <w:rsid w:val="006E7144"/>
    <w:rsid w:val="006E7345"/>
    <w:rsid w:val="006F0333"/>
    <w:rsid w:val="006F1083"/>
    <w:rsid w:val="006F1302"/>
    <w:rsid w:val="006F14A0"/>
    <w:rsid w:val="006F1BA0"/>
    <w:rsid w:val="006F1E3F"/>
    <w:rsid w:val="006F2693"/>
    <w:rsid w:val="006F3F6C"/>
    <w:rsid w:val="006F606A"/>
    <w:rsid w:val="006F657B"/>
    <w:rsid w:val="006F6BF9"/>
    <w:rsid w:val="006F7314"/>
    <w:rsid w:val="00700B35"/>
    <w:rsid w:val="00701369"/>
    <w:rsid w:val="0070381E"/>
    <w:rsid w:val="00711F34"/>
    <w:rsid w:val="00715793"/>
    <w:rsid w:val="007157F7"/>
    <w:rsid w:val="00715AAA"/>
    <w:rsid w:val="00715BBB"/>
    <w:rsid w:val="007165EE"/>
    <w:rsid w:val="007228C3"/>
    <w:rsid w:val="0072419B"/>
    <w:rsid w:val="007263A8"/>
    <w:rsid w:val="0072645E"/>
    <w:rsid w:val="00730B43"/>
    <w:rsid w:val="00730E9E"/>
    <w:rsid w:val="007314F2"/>
    <w:rsid w:val="00731DCE"/>
    <w:rsid w:val="00732E51"/>
    <w:rsid w:val="007334A0"/>
    <w:rsid w:val="00734BCD"/>
    <w:rsid w:val="00735A5C"/>
    <w:rsid w:val="00736654"/>
    <w:rsid w:val="00736695"/>
    <w:rsid w:val="007367EE"/>
    <w:rsid w:val="00737481"/>
    <w:rsid w:val="007376E3"/>
    <w:rsid w:val="00740CAD"/>
    <w:rsid w:val="00741828"/>
    <w:rsid w:val="00741B45"/>
    <w:rsid w:val="007428F2"/>
    <w:rsid w:val="00743A62"/>
    <w:rsid w:val="00743B56"/>
    <w:rsid w:val="00750107"/>
    <w:rsid w:val="00756539"/>
    <w:rsid w:val="00756A61"/>
    <w:rsid w:val="00757C41"/>
    <w:rsid w:val="007601C2"/>
    <w:rsid w:val="00761520"/>
    <w:rsid w:val="0076191B"/>
    <w:rsid w:val="00763B87"/>
    <w:rsid w:val="00765E53"/>
    <w:rsid w:val="0076631D"/>
    <w:rsid w:val="0076699E"/>
    <w:rsid w:val="00770967"/>
    <w:rsid w:val="00771213"/>
    <w:rsid w:val="00772822"/>
    <w:rsid w:val="00772C6F"/>
    <w:rsid w:val="00773BD1"/>
    <w:rsid w:val="00775F78"/>
    <w:rsid w:val="00776527"/>
    <w:rsid w:val="00776DF7"/>
    <w:rsid w:val="00777756"/>
    <w:rsid w:val="00777E53"/>
    <w:rsid w:val="00780909"/>
    <w:rsid w:val="00780A47"/>
    <w:rsid w:val="0078107C"/>
    <w:rsid w:val="007818C4"/>
    <w:rsid w:val="0078363C"/>
    <w:rsid w:val="00783B9D"/>
    <w:rsid w:val="00784031"/>
    <w:rsid w:val="0078508C"/>
    <w:rsid w:val="00786E3F"/>
    <w:rsid w:val="00786FEC"/>
    <w:rsid w:val="00790D54"/>
    <w:rsid w:val="00792061"/>
    <w:rsid w:val="00792D5E"/>
    <w:rsid w:val="00792DC4"/>
    <w:rsid w:val="007936AD"/>
    <w:rsid w:val="007A1D51"/>
    <w:rsid w:val="007A1E0E"/>
    <w:rsid w:val="007A347A"/>
    <w:rsid w:val="007A34AA"/>
    <w:rsid w:val="007A4929"/>
    <w:rsid w:val="007A6493"/>
    <w:rsid w:val="007A65F9"/>
    <w:rsid w:val="007A6DB8"/>
    <w:rsid w:val="007B1D85"/>
    <w:rsid w:val="007B48CD"/>
    <w:rsid w:val="007B4C02"/>
    <w:rsid w:val="007B7C79"/>
    <w:rsid w:val="007C0A19"/>
    <w:rsid w:val="007C36F3"/>
    <w:rsid w:val="007C3720"/>
    <w:rsid w:val="007C4194"/>
    <w:rsid w:val="007C58D7"/>
    <w:rsid w:val="007C5FFD"/>
    <w:rsid w:val="007C6CF5"/>
    <w:rsid w:val="007C717A"/>
    <w:rsid w:val="007C7B60"/>
    <w:rsid w:val="007D1F59"/>
    <w:rsid w:val="007D3952"/>
    <w:rsid w:val="007D4D86"/>
    <w:rsid w:val="007D5788"/>
    <w:rsid w:val="007D5A4A"/>
    <w:rsid w:val="007E0108"/>
    <w:rsid w:val="007E5821"/>
    <w:rsid w:val="007E6C19"/>
    <w:rsid w:val="007E756F"/>
    <w:rsid w:val="007E76CE"/>
    <w:rsid w:val="007F0E9C"/>
    <w:rsid w:val="007F0FAF"/>
    <w:rsid w:val="007F0FE6"/>
    <w:rsid w:val="007F220E"/>
    <w:rsid w:val="007F28CC"/>
    <w:rsid w:val="007F53CB"/>
    <w:rsid w:val="007F7E2B"/>
    <w:rsid w:val="00800D2D"/>
    <w:rsid w:val="0080198E"/>
    <w:rsid w:val="00801CDC"/>
    <w:rsid w:val="008034F0"/>
    <w:rsid w:val="00804387"/>
    <w:rsid w:val="00805201"/>
    <w:rsid w:val="00805419"/>
    <w:rsid w:val="008068D0"/>
    <w:rsid w:val="008072BC"/>
    <w:rsid w:val="0081113E"/>
    <w:rsid w:val="00812553"/>
    <w:rsid w:val="008146AF"/>
    <w:rsid w:val="0081505C"/>
    <w:rsid w:val="00815432"/>
    <w:rsid w:val="00815B3B"/>
    <w:rsid w:val="008162F5"/>
    <w:rsid w:val="00816497"/>
    <w:rsid w:val="008169D9"/>
    <w:rsid w:val="00817B10"/>
    <w:rsid w:val="00820473"/>
    <w:rsid w:val="008211DF"/>
    <w:rsid w:val="00821A64"/>
    <w:rsid w:val="00824B65"/>
    <w:rsid w:val="008251B0"/>
    <w:rsid w:val="0082635E"/>
    <w:rsid w:val="00827886"/>
    <w:rsid w:val="00830CDA"/>
    <w:rsid w:val="008339C3"/>
    <w:rsid w:val="0083440E"/>
    <w:rsid w:val="008347A1"/>
    <w:rsid w:val="00834E93"/>
    <w:rsid w:val="00835429"/>
    <w:rsid w:val="0083746B"/>
    <w:rsid w:val="0084128A"/>
    <w:rsid w:val="00841D0E"/>
    <w:rsid w:val="008430BA"/>
    <w:rsid w:val="00843472"/>
    <w:rsid w:val="0084498C"/>
    <w:rsid w:val="00844FA8"/>
    <w:rsid w:val="00845E5B"/>
    <w:rsid w:val="00850129"/>
    <w:rsid w:val="0085294D"/>
    <w:rsid w:val="0085423C"/>
    <w:rsid w:val="00854914"/>
    <w:rsid w:val="008606C3"/>
    <w:rsid w:val="00860C9A"/>
    <w:rsid w:val="0086127C"/>
    <w:rsid w:val="008615B5"/>
    <w:rsid w:val="008639D3"/>
    <w:rsid w:val="008657E1"/>
    <w:rsid w:val="00866610"/>
    <w:rsid w:val="008702DD"/>
    <w:rsid w:val="0087034D"/>
    <w:rsid w:val="00870A67"/>
    <w:rsid w:val="00872479"/>
    <w:rsid w:val="00873C9D"/>
    <w:rsid w:val="0087740B"/>
    <w:rsid w:val="00877894"/>
    <w:rsid w:val="00877E86"/>
    <w:rsid w:val="00880629"/>
    <w:rsid w:val="00881015"/>
    <w:rsid w:val="008815FE"/>
    <w:rsid w:val="008854EA"/>
    <w:rsid w:val="00886BE2"/>
    <w:rsid w:val="008873BF"/>
    <w:rsid w:val="0088768B"/>
    <w:rsid w:val="00890B80"/>
    <w:rsid w:val="00891198"/>
    <w:rsid w:val="008916A8"/>
    <w:rsid w:val="0089234D"/>
    <w:rsid w:val="00893B31"/>
    <w:rsid w:val="00894F9B"/>
    <w:rsid w:val="00895258"/>
    <w:rsid w:val="0089650E"/>
    <w:rsid w:val="008971B2"/>
    <w:rsid w:val="008A15D5"/>
    <w:rsid w:val="008A1944"/>
    <w:rsid w:val="008A30E7"/>
    <w:rsid w:val="008A34BD"/>
    <w:rsid w:val="008A3E5F"/>
    <w:rsid w:val="008A484F"/>
    <w:rsid w:val="008A6FF1"/>
    <w:rsid w:val="008A7461"/>
    <w:rsid w:val="008B0583"/>
    <w:rsid w:val="008B308D"/>
    <w:rsid w:val="008B34D4"/>
    <w:rsid w:val="008B42D3"/>
    <w:rsid w:val="008B4B36"/>
    <w:rsid w:val="008C195D"/>
    <w:rsid w:val="008C281F"/>
    <w:rsid w:val="008C48F9"/>
    <w:rsid w:val="008C4977"/>
    <w:rsid w:val="008C4B3F"/>
    <w:rsid w:val="008C5AA7"/>
    <w:rsid w:val="008C5B5D"/>
    <w:rsid w:val="008C5EBE"/>
    <w:rsid w:val="008C6117"/>
    <w:rsid w:val="008C66F7"/>
    <w:rsid w:val="008D34EF"/>
    <w:rsid w:val="008D35CB"/>
    <w:rsid w:val="008D5334"/>
    <w:rsid w:val="008D5CBA"/>
    <w:rsid w:val="008E10F9"/>
    <w:rsid w:val="008E1560"/>
    <w:rsid w:val="008E1ED6"/>
    <w:rsid w:val="008E1EE8"/>
    <w:rsid w:val="008E5FAC"/>
    <w:rsid w:val="008E62F6"/>
    <w:rsid w:val="008E676F"/>
    <w:rsid w:val="008E7915"/>
    <w:rsid w:val="008E7ED8"/>
    <w:rsid w:val="008F0DFF"/>
    <w:rsid w:val="008F110B"/>
    <w:rsid w:val="008F2BCE"/>
    <w:rsid w:val="008F4803"/>
    <w:rsid w:val="008F6BC1"/>
    <w:rsid w:val="0090092A"/>
    <w:rsid w:val="00900C0E"/>
    <w:rsid w:val="00900C24"/>
    <w:rsid w:val="00900FD3"/>
    <w:rsid w:val="009015B2"/>
    <w:rsid w:val="00902AF4"/>
    <w:rsid w:val="00903CD5"/>
    <w:rsid w:val="00904FF8"/>
    <w:rsid w:val="00910551"/>
    <w:rsid w:val="0091276A"/>
    <w:rsid w:val="0091445B"/>
    <w:rsid w:val="00914885"/>
    <w:rsid w:val="009161A3"/>
    <w:rsid w:val="00916FC1"/>
    <w:rsid w:val="00920A09"/>
    <w:rsid w:val="00920DF1"/>
    <w:rsid w:val="00922A45"/>
    <w:rsid w:val="00922BD3"/>
    <w:rsid w:val="00922E7F"/>
    <w:rsid w:val="00923658"/>
    <w:rsid w:val="00924320"/>
    <w:rsid w:val="0092658E"/>
    <w:rsid w:val="0092778D"/>
    <w:rsid w:val="009309AF"/>
    <w:rsid w:val="00931086"/>
    <w:rsid w:val="009318C6"/>
    <w:rsid w:val="00932C7A"/>
    <w:rsid w:val="00933ACB"/>
    <w:rsid w:val="00934921"/>
    <w:rsid w:val="00935E7B"/>
    <w:rsid w:val="009361BE"/>
    <w:rsid w:val="00936A94"/>
    <w:rsid w:val="00937CC7"/>
    <w:rsid w:val="00940EAD"/>
    <w:rsid w:val="00942F3D"/>
    <w:rsid w:val="0094358C"/>
    <w:rsid w:val="00945A1F"/>
    <w:rsid w:val="00947226"/>
    <w:rsid w:val="00947584"/>
    <w:rsid w:val="00947668"/>
    <w:rsid w:val="00950C96"/>
    <w:rsid w:val="00950E82"/>
    <w:rsid w:val="00951759"/>
    <w:rsid w:val="00951775"/>
    <w:rsid w:val="00954261"/>
    <w:rsid w:val="00954BDA"/>
    <w:rsid w:val="00954F6A"/>
    <w:rsid w:val="00956124"/>
    <w:rsid w:val="00957557"/>
    <w:rsid w:val="00960999"/>
    <w:rsid w:val="009621FA"/>
    <w:rsid w:val="00964CA5"/>
    <w:rsid w:val="00966165"/>
    <w:rsid w:val="00970645"/>
    <w:rsid w:val="00970795"/>
    <w:rsid w:val="009716CF"/>
    <w:rsid w:val="00972D1A"/>
    <w:rsid w:val="009737FF"/>
    <w:rsid w:val="00976C28"/>
    <w:rsid w:val="0097721E"/>
    <w:rsid w:val="00980437"/>
    <w:rsid w:val="0098178C"/>
    <w:rsid w:val="009820BD"/>
    <w:rsid w:val="00982D4D"/>
    <w:rsid w:val="0098329E"/>
    <w:rsid w:val="009853F4"/>
    <w:rsid w:val="00985BD8"/>
    <w:rsid w:val="009860F6"/>
    <w:rsid w:val="00986625"/>
    <w:rsid w:val="00987163"/>
    <w:rsid w:val="0098744E"/>
    <w:rsid w:val="00987536"/>
    <w:rsid w:val="00987F20"/>
    <w:rsid w:val="00990135"/>
    <w:rsid w:val="00991573"/>
    <w:rsid w:val="00991AD1"/>
    <w:rsid w:val="00991B2A"/>
    <w:rsid w:val="00992426"/>
    <w:rsid w:val="00992858"/>
    <w:rsid w:val="00993ED3"/>
    <w:rsid w:val="00994C6A"/>
    <w:rsid w:val="00995762"/>
    <w:rsid w:val="00997675"/>
    <w:rsid w:val="009A19FC"/>
    <w:rsid w:val="009A2EE3"/>
    <w:rsid w:val="009A61E7"/>
    <w:rsid w:val="009A6B95"/>
    <w:rsid w:val="009A7B74"/>
    <w:rsid w:val="009B031F"/>
    <w:rsid w:val="009B23AF"/>
    <w:rsid w:val="009B3692"/>
    <w:rsid w:val="009B3884"/>
    <w:rsid w:val="009B54ED"/>
    <w:rsid w:val="009B7065"/>
    <w:rsid w:val="009B7599"/>
    <w:rsid w:val="009C00A9"/>
    <w:rsid w:val="009C02A3"/>
    <w:rsid w:val="009C146E"/>
    <w:rsid w:val="009C1D4A"/>
    <w:rsid w:val="009C45A0"/>
    <w:rsid w:val="009C517B"/>
    <w:rsid w:val="009C597F"/>
    <w:rsid w:val="009C705E"/>
    <w:rsid w:val="009C7DBD"/>
    <w:rsid w:val="009C7E71"/>
    <w:rsid w:val="009D0B09"/>
    <w:rsid w:val="009D18A5"/>
    <w:rsid w:val="009D1B49"/>
    <w:rsid w:val="009D4E7B"/>
    <w:rsid w:val="009D5760"/>
    <w:rsid w:val="009D6ADD"/>
    <w:rsid w:val="009E0396"/>
    <w:rsid w:val="009E1329"/>
    <w:rsid w:val="009E13AB"/>
    <w:rsid w:val="009E2DF2"/>
    <w:rsid w:val="009E2EFD"/>
    <w:rsid w:val="009E5621"/>
    <w:rsid w:val="009E73D0"/>
    <w:rsid w:val="009E7849"/>
    <w:rsid w:val="009F0211"/>
    <w:rsid w:val="009F06FD"/>
    <w:rsid w:val="009F08A2"/>
    <w:rsid w:val="009F1F5B"/>
    <w:rsid w:val="009F2BA5"/>
    <w:rsid w:val="009F395D"/>
    <w:rsid w:val="009F4381"/>
    <w:rsid w:val="009F4F25"/>
    <w:rsid w:val="00A00C1B"/>
    <w:rsid w:val="00A036D1"/>
    <w:rsid w:val="00A037F7"/>
    <w:rsid w:val="00A03DBE"/>
    <w:rsid w:val="00A04945"/>
    <w:rsid w:val="00A106AD"/>
    <w:rsid w:val="00A1087C"/>
    <w:rsid w:val="00A11064"/>
    <w:rsid w:val="00A12F61"/>
    <w:rsid w:val="00A141E0"/>
    <w:rsid w:val="00A142DA"/>
    <w:rsid w:val="00A15DD0"/>
    <w:rsid w:val="00A1784B"/>
    <w:rsid w:val="00A179F0"/>
    <w:rsid w:val="00A20E0C"/>
    <w:rsid w:val="00A212A2"/>
    <w:rsid w:val="00A23279"/>
    <w:rsid w:val="00A23F13"/>
    <w:rsid w:val="00A25996"/>
    <w:rsid w:val="00A279E1"/>
    <w:rsid w:val="00A31019"/>
    <w:rsid w:val="00A327E0"/>
    <w:rsid w:val="00A32E64"/>
    <w:rsid w:val="00A33A61"/>
    <w:rsid w:val="00A351B1"/>
    <w:rsid w:val="00A35F6E"/>
    <w:rsid w:val="00A36921"/>
    <w:rsid w:val="00A37F81"/>
    <w:rsid w:val="00A40143"/>
    <w:rsid w:val="00A43BF8"/>
    <w:rsid w:val="00A461DA"/>
    <w:rsid w:val="00A466F6"/>
    <w:rsid w:val="00A533A1"/>
    <w:rsid w:val="00A5419A"/>
    <w:rsid w:val="00A56C31"/>
    <w:rsid w:val="00A570C6"/>
    <w:rsid w:val="00A57640"/>
    <w:rsid w:val="00A60B11"/>
    <w:rsid w:val="00A62B61"/>
    <w:rsid w:val="00A62D66"/>
    <w:rsid w:val="00A640A7"/>
    <w:rsid w:val="00A6529A"/>
    <w:rsid w:val="00A65674"/>
    <w:rsid w:val="00A65F1B"/>
    <w:rsid w:val="00A66C6C"/>
    <w:rsid w:val="00A672BF"/>
    <w:rsid w:val="00A67A1B"/>
    <w:rsid w:val="00A70788"/>
    <w:rsid w:val="00A71238"/>
    <w:rsid w:val="00A71F49"/>
    <w:rsid w:val="00A7328E"/>
    <w:rsid w:val="00A746D2"/>
    <w:rsid w:val="00A76055"/>
    <w:rsid w:val="00A800CB"/>
    <w:rsid w:val="00A83BE6"/>
    <w:rsid w:val="00A86435"/>
    <w:rsid w:val="00A87117"/>
    <w:rsid w:val="00A874C8"/>
    <w:rsid w:val="00A87922"/>
    <w:rsid w:val="00A879FC"/>
    <w:rsid w:val="00A940A7"/>
    <w:rsid w:val="00A946AC"/>
    <w:rsid w:val="00A94C53"/>
    <w:rsid w:val="00A95012"/>
    <w:rsid w:val="00A95BE3"/>
    <w:rsid w:val="00A96133"/>
    <w:rsid w:val="00A96512"/>
    <w:rsid w:val="00A96940"/>
    <w:rsid w:val="00A9784A"/>
    <w:rsid w:val="00AA1E63"/>
    <w:rsid w:val="00AA229D"/>
    <w:rsid w:val="00AA2B9F"/>
    <w:rsid w:val="00AA39EA"/>
    <w:rsid w:val="00AA45AE"/>
    <w:rsid w:val="00AA7A48"/>
    <w:rsid w:val="00AA7C1B"/>
    <w:rsid w:val="00AB0741"/>
    <w:rsid w:val="00AB11EA"/>
    <w:rsid w:val="00AB2682"/>
    <w:rsid w:val="00AB2A0C"/>
    <w:rsid w:val="00AB52AE"/>
    <w:rsid w:val="00AB6A88"/>
    <w:rsid w:val="00AB77BA"/>
    <w:rsid w:val="00AB7B3C"/>
    <w:rsid w:val="00AC2469"/>
    <w:rsid w:val="00AC7A11"/>
    <w:rsid w:val="00AD048D"/>
    <w:rsid w:val="00AD0B77"/>
    <w:rsid w:val="00AD38A7"/>
    <w:rsid w:val="00AD4C95"/>
    <w:rsid w:val="00AD4C9C"/>
    <w:rsid w:val="00AE223B"/>
    <w:rsid w:val="00AE2857"/>
    <w:rsid w:val="00AE2B8A"/>
    <w:rsid w:val="00AE5070"/>
    <w:rsid w:val="00AF10A5"/>
    <w:rsid w:val="00AF17A6"/>
    <w:rsid w:val="00AF399D"/>
    <w:rsid w:val="00AF42FB"/>
    <w:rsid w:val="00AF48A1"/>
    <w:rsid w:val="00AF5FD3"/>
    <w:rsid w:val="00AF6D72"/>
    <w:rsid w:val="00AF791C"/>
    <w:rsid w:val="00AF7A62"/>
    <w:rsid w:val="00B0145F"/>
    <w:rsid w:val="00B01AB4"/>
    <w:rsid w:val="00B01F06"/>
    <w:rsid w:val="00B03D44"/>
    <w:rsid w:val="00B079E7"/>
    <w:rsid w:val="00B120CA"/>
    <w:rsid w:val="00B12348"/>
    <w:rsid w:val="00B124F2"/>
    <w:rsid w:val="00B13244"/>
    <w:rsid w:val="00B144F8"/>
    <w:rsid w:val="00B14B2A"/>
    <w:rsid w:val="00B16395"/>
    <w:rsid w:val="00B16A5D"/>
    <w:rsid w:val="00B216F7"/>
    <w:rsid w:val="00B22369"/>
    <w:rsid w:val="00B23B86"/>
    <w:rsid w:val="00B23CED"/>
    <w:rsid w:val="00B241CF"/>
    <w:rsid w:val="00B2466A"/>
    <w:rsid w:val="00B250A7"/>
    <w:rsid w:val="00B25E3A"/>
    <w:rsid w:val="00B27FE8"/>
    <w:rsid w:val="00B3061F"/>
    <w:rsid w:val="00B314DD"/>
    <w:rsid w:val="00B32CCF"/>
    <w:rsid w:val="00B33145"/>
    <w:rsid w:val="00B34220"/>
    <w:rsid w:val="00B34A04"/>
    <w:rsid w:val="00B35CB0"/>
    <w:rsid w:val="00B36B86"/>
    <w:rsid w:val="00B374F6"/>
    <w:rsid w:val="00B378AD"/>
    <w:rsid w:val="00B37AD2"/>
    <w:rsid w:val="00B37DD8"/>
    <w:rsid w:val="00B4589B"/>
    <w:rsid w:val="00B4781C"/>
    <w:rsid w:val="00B51A6A"/>
    <w:rsid w:val="00B51C3D"/>
    <w:rsid w:val="00B52BD7"/>
    <w:rsid w:val="00B54D43"/>
    <w:rsid w:val="00B54E33"/>
    <w:rsid w:val="00B54E7E"/>
    <w:rsid w:val="00B55003"/>
    <w:rsid w:val="00B5636B"/>
    <w:rsid w:val="00B56540"/>
    <w:rsid w:val="00B5682D"/>
    <w:rsid w:val="00B62E2C"/>
    <w:rsid w:val="00B645DD"/>
    <w:rsid w:val="00B646B0"/>
    <w:rsid w:val="00B66861"/>
    <w:rsid w:val="00B66E80"/>
    <w:rsid w:val="00B70218"/>
    <w:rsid w:val="00B70C25"/>
    <w:rsid w:val="00B712A8"/>
    <w:rsid w:val="00B714A7"/>
    <w:rsid w:val="00B72880"/>
    <w:rsid w:val="00B730B7"/>
    <w:rsid w:val="00B738A5"/>
    <w:rsid w:val="00B74BB0"/>
    <w:rsid w:val="00B75B06"/>
    <w:rsid w:val="00B76EFE"/>
    <w:rsid w:val="00B77A39"/>
    <w:rsid w:val="00B77A4F"/>
    <w:rsid w:val="00B77C31"/>
    <w:rsid w:val="00B8035E"/>
    <w:rsid w:val="00B80E15"/>
    <w:rsid w:val="00B81238"/>
    <w:rsid w:val="00B829F9"/>
    <w:rsid w:val="00B84987"/>
    <w:rsid w:val="00B84E58"/>
    <w:rsid w:val="00B85B78"/>
    <w:rsid w:val="00B87E85"/>
    <w:rsid w:val="00B90A5A"/>
    <w:rsid w:val="00B91684"/>
    <w:rsid w:val="00B946CE"/>
    <w:rsid w:val="00B952DA"/>
    <w:rsid w:val="00B95491"/>
    <w:rsid w:val="00B9691B"/>
    <w:rsid w:val="00B9704A"/>
    <w:rsid w:val="00B97E8F"/>
    <w:rsid w:val="00BA06A7"/>
    <w:rsid w:val="00BA11F2"/>
    <w:rsid w:val="00BA2C8F"/>
    <w:rsid w:val="00BA3DB7"/>
    <w:rsid w:val="00BA56C0"/>
    <w:rsid w:val="00BA66DE"/>
    <w:rsid w:val="00BA71FA"/>
    <w:rsid w:val="00BB2133"/>
    <w:rsid w:val="00BB2A9E"/>
    <w:rsid w:val="00BB30FD"/>
    <w:rsid w:val="00BB411D"/>
    <w:rsid w:val="00BB64B3"/>
    <w:rsid w:val="00BC0882"/>
    <w:rsid w:val="00BC1A76"/>
    <w:rsid w:val="00BC3E6B"/>
    <w:rsid w:val="00BC4BE5"/>
    <w:rsid w:val="00BC550D"/>
    <w:rsid w:val="00BC67CC"/>
    <w:rsid w:val="00BD0517"/>
    <w:rsid w:val="00BD08BB"/>
    <w:rsid w:val="00BD0F8E"/>
    <w:rsid w:val="00BD1A99"/>
    <w:rsid w:val="00BD1B92"/>
    <w:rsid w:val="00BD2562"/>
    <w:rsid w:val="00BD3C5C"/>
    <w:rsid w:val="00BD5680"/>
    <w:rsid w:val="00BD57D8"/>
    <w:rsid w:val="00BD5A56"/>
    <w:rsid w:val="00BD73B0"/>
    <w:rsid w:val="00BE1723"/>
    <w:rsid w:val="00BE55BC"/>
    <w:rsid w:val="00BE5CB7"/>
    <w:rsid w:val="00BE7C9D"/>
    <w:rsid w:val="00BF05EE"/>
    <w:rsid w:val="00BF1322"/>
    <w:rsid w:val="00BF303A"/>
    <w:rsid w:val="00BF49F7"/>
    <w:rsid w:val="00BF5141"/>
    <w:rsid w:val="00BF5329"/>
    <w:rsid w:val="00BF685A"/>
    <w:rsid w:val="00C01A91"/>
    <w:rsid w:val="00C01CFF"/>
    <w:rsid w:val="00C02C6A"/>
    <w:rsid w:val="00C03153"/>
    <w:rsid w:val="00C04BA9"/>
    <w:rsid w:val="00C06C82"/>
    <w:rsid w:val="00C07281"/>
    <w:rsid w:val="00C07997"/>
    <w:rsid w:val="00C104DA"/>
    <w:rsid w:val="00C10966"/>
    <w:rsid w:val="00C11C92"/>
    <w:rsid w:val="00C13500"/>
    <w:rsid w:val="00C151D1"/>
    <w:rsid w:val="00C1573A"/>
    <w:rsid w:val="00C16984"/>
    <w:rsid w:val="00C17EA0"/>
    <w:rsid w:val="00C20650"/>
    <w:rsid w:val="00C209F0"/>
    <w:rsid w:val="00C20F80"/>
    <w:rsid w:val="00C2218B"/>
    <w:rsid w:val="00C2331E"/>
    <w:rsid w:val="00C24A79"/>
    <w:rsid w:val="00C24BCC"/>
    <w:rsid w:val="00C26C4E"/>
    <w:rsid w:val="00C27444"/>
    <w:rsid w:val="00C3348B"/>
    <w:rsid w:val="00C33876"/>
    <w:rsid w:val="00C34BF6"/>
    <w:rsid w:val="00C365A1"/>
    <w:rsid w:val="00C36D71"/>
    <w:rsid w:val="00C36E16"/>
    <w:rsid w:val="00C37859"/>
    <w:rsid w:val="00C42226"/>
    <w:rsid w:val="00C457D9"/>
    <w:rsid w:val="00C462CD"/>
    <w:rsid w:val="00C469BA"/>
    <w:rsid w:val="00C47AC5"/>
    <w:rsid w:val="00C50886"/>
    <w:rsid w:val="00C52B84"/>
    <w:rsid w:val="00C544F1"/>
    <w:rsid w:val="00C546D8"/>
    <w:rsid w:val="00C6159D"/>
    <w:rsid w:val="00C62F61"/>
    <w:rsid w:val="00C631D3"/>
    <w:rsid w:val="00C63B49"/>
    <w:rsid w:val="00C649FF"/>
    <w:rsid w:val="00C64C83"/>
    <w:rsid w:val="00C672B8"/>
    <w:rsid w:val="00C71326"/>
    <w:rsid w:val="00C73ABC"/>
    <w:rsid w:val="00C73F24"/>
    <w:rsid w:val="00C75DE6"/>
    <w:rsid w:val="00C77C10"/>
    <w:rsid w:val="00C81833"/>
    <w:rsid w:val="00C83F69"/>
    <w:rsid w:val="00C84DF9"/>
    <w:rsid w:val="00C87F5D"/>
    <w:rsid w:val="00C90174"/>
    <w:rsid w:val="00C930B4"/>
    <w:rsid w:val="00C944C7"/>
    <w:rsid w:val="00C94729"/>
    <w:rsid w:val="00C9491A"/>
    <w:rsid w:val="00C95A4B"/>
    <w:rsid w:val="00C95AFE"/>
    <w:rsid w:val="00C95C31"/>
    <w:rsid w:val="00CA25BB"/>
    <w:rsid w:val="00CA2762"/>
    <w:rsid w:val="00CA2AC7"/>
    <w:rsid w:val="00CA3E98"/>
    <w:rsid w:val="00CA41F8"/>
    <w:rsid w:val="00CA5111"/>
    <w:rsid w:val="00CA5C61"/>
    <w:rsid w:val="00CA746D"/>
    <w:rsid w:val="00CA7766"/>
    <w:rsid w:val="00CA7CEE"/>
    <w:rsid w:val="00CB0218"/>
    <w:rsid w:val="00CB0483"/>
    <w:rsid w:val="00CB1792"/>
    <w:rsid w:val="00CB30FD"/>
    <w:rsid w:val="00CB6CA6"/>
    <w:rsid w:val="00CB7708"/>
    <w:rsid w:val="00CC394B"/>
    <w:rsid w:val="00CC4E11"/>
    <w:rsid w:val="00CC5FEB"/>
    <w:rsid w:val="00CC6CC4"/>
    <w:rsid w:val="00CD11FB"/>
    <w:rsid w:val="00CD2960"/>
    <w:rsid w:val="00CD2B16"/>
    <w:rsid w:val="00CD38C4"/>
    <w:rsid w:val="00CD4607"/>
    <w:rsid w:val="00CD4E4B"/>
    <w:rsid w:val="00CD4F40"/>
    <w:rsid w:val="00CD6C6C"/>
    <w:rsid w:val="00CD75D4"/>
    <w:rsid w:val="00CE0155"/>
    <w:rsid w:val="00CE034E"/>
    <w:rsid w:val="00CE0796"/>
    <w:rsid w:val="00CE219C"/>
    <w:rsid w:val="00CE401C"/>
    <w:rsid w:val="00CE4E34"/>
    <w:rsid w:val="00CE6965"/>
    <w:rsid w:val="00CE79CD"/>
    <w:rsid w:val="00CE7D8A"/>
    <w:rsid w:val="00CF0006"/>
    <w:rsid w:val="00CF0CE5"/>
    <w:rsid w:val="00CF1C61"/>
    <w:rsid w:val="00CF24E4"/>
    <w:rsid w:val="00CF3649"/>
    <w:rsid w:val="00CF5309"/>
    <w:rsid w:val="00CF6C4E"/>
    <w:rsid w:val="00D06141"/>
    <w:rsid w:val="00D069CD"/>
    <w:rsid w:val="00D07117"/>
    <w:rsid w:val="00D1021E"/>
    <w:rsid w:val="00D136D3"/>
    <w:rsid w:val="00D142EF"/>
    <w:rsid w:val="00D15940"/>
    <w:rsid w:val="00D15F64"/>
    <w:rsid w:val="00D1603A"/>
    <w:rsid w:val="00D21064"/>
    <w:rsid w:val="00D24C0D"/>
    <w:rsid w:val="00D26EC3"/>
    <w:rsid w:val="00D27AC3"/>
    <w:rsid w:val="00D30201"/>
    <w:rsid w:val="00D325E6"/>
    <w:rsid w:val="00D35B7E"/>
    <w:rsid w:val="00D36101"/>
    <w:rsid w:val="00D36C4E"/>
    <w:rsid w:val="00D36E56"/>
    <w:rsid w:val="00D372CF"/>
    <w:rsid w:val="00D3759C"/>
    <w:rsid w:val="00D41026"/>
    <w:rsid w:val="00D4158A"/>
    <w:rsid w:val="00D42D1D"/>
    <w:rsid w:val="00D43007"/>
    <w:rsid w:val="00D43257"/>
    <w:rsid w:val="00D44BCE"/>
    <w:rsid w:val="00D44E27"/>
    <w:rsid w:val="00D4553C"/>
    <w:rsid w:val="00D47209"/>
    <w:rsid w:val="00D5117C"/>
    <w:rsid w:val="00D5140E"/>
    <w:rsid w:val="00D52C5C"/>
    <w:rsid w:val="00D551FB"/>
    <w:rsid w:val="00D552C2"/>
    <w:rsid w:val="00D57264"/>
    <w:rsid w:val="00D573A4"/>
    <w:rsid w:val="00D60FA6"/>
    <w:rsid w:val="00D61F32"/>
    <w:rsid w:val="00D62043"/>
    <w:rsid w:val="00D63418"/>
    <w:rsid w:val="00D65431"/>
    <w:rsid w:val="00D659F9"/>
    <w:rsid w:val="00D65B77"/>
    <w:rsid w:val="00D6681C"/>
    <w:rsid w:val="00D66908"/>
    <w:rsid w:val="00D6794B"/>
    <w:rsid w:val="00D67BBF"/>
    <w:rsid w:val="00D67CD6"/>
    <w:rsid w:val="00D7026C"/>
    <w:rsid w:val="00D70A0E"/>
    <w:rsid w:val="00D713B5"/>
    <w:rsid w:val="00D715E4"/>
    <w:rsid w:val="00D71814"/>
    <w:rsid w:val="00D752F9"/>
    <w:rsid w:val="00D7743E"/>
    <w:rsid w:val="00D8025A"/>
    <w:rsid w:val="00D80D7D"/>
    <w:rsid w:val="00D80ED7"/>
    <w:rsid w:val="00D813A7"/>
    <w:rsid w:val="00D8229B"/>
    <w:rsid w:val="00D827F6"/>
    <w:rsid w:val="00D83DFE"/>
    <w:rsid w:val="00D84EE3"/>
    <w:rsid w:val="00D85D61"/>
    <w:rsid w:val="00D85E50"/>
    <w:rsid w:val="00D92A0B"/>
    <w:rsid w:val="00D9335D"/>
    <w:rsid w:val="00D9473B"/>
    <w:rsid w:val="00D95ABD"/>
    <w:rsid w:val="00D95B6D"/>
    <w:rsid w:val="00DA07EE"/>
    <w:rsid w:val="00DA17DF"/>
    <w:rsid w:val="00DA1A8C"/>
    <w:rsid w:val="00DA2799"/>
    <w:rsid w:val="00DA2F28"/>
    <w:rsid w:val="00DA37DF"/>
    <w:rsid w:val="00DA4328"/>
    <w:rsid w:val="00DA4ADA"/>
    <w:rsid w:val="00DA4CF2"/>
    <w:rsid w:val="00DA62BC"/>
    <w:rsid w:val="00DA697B"/>
    <w:rsid w:val="00DB0AA0"/>
    <w:rsid w:val="00DB1C52"/>
    <w:rsid w:val="00DB2D23"/>
    <w:rsid w:val="00DB3EE2"/>
    <w:rsid w:val="00DB5B81"/>
    <w:rsid w:val="00DB5C4E"/>
    <w:rsid w:val="00DB7EF2"/>
    <w:rsid w:val="00DC01C5"/>
    <w:rsid w:val="00DC027C"/>
    <w:rsid w:val="00DC1648"/>
    <w:rsid w:val="00DC279A"/>
    <w:rsid w:val="00DC27AD"/>
    <w:rsid w:val="00DC321D"/>
    <w:rsid w:val="00DC456D"/>
    <w:rsid w:val="00DD2D61"/>
    <w:rsid w:val="00DD3520"/>
    <w:rsid w:val="00DD596A"/>
    <w:rsid w:val="00DD5B43"/>
    <w:rsid w:val="00DE1829"/>
    <w:rsid w:val="00DE2109"/>
    <w:rsid w:val="00DE24F9"/>
    <w:rsid w:val="00DE27BC"/>
    <w:rsid w:val="00DE2E8A"/>
    <w:rsid w:val="00DE302C"/>
    <w:rsid w:val="00DE5946"/>
    <w:rsid w:val="00DE5FE1"/>
    <w:rsid w:val="00DE7D75"/>
    <w:rsid w:val="00DF0DD3"/>
    <w:rsid w:val="00DF0F71"/>
    <w:rsid w:val="00DF2292"/>
    <w:rsid w:val="00DF2AA9"/>
    <w:rsid w:val="00DF3B3C"/>
    <w:rsid w:val="00DF4FA9"/>
    <w:rsid w:val="00DF666B"/>
    <w:rsid w:val="00DF7171"/>
    <w:rsid w:val="00DF78C5"/>
    <w:rsid w:val="00E00171"/>
    <w:rsid w:val="00E002A8"/>
    <w:rsid w:val="00E00685"/>
    <w:rsid w:val="00E0221A"/>
    <w:rsid w:val="00E03B49"/>
    <w:rsid w:val="00E04903"/>
    <w:rsid w:val="00E04F37"/>
    <w:rsid w:val="00E05795"/>
    <w:rsid w:val="00E05EF0"/>
    <w:rsid w:val="00E06685"/>
    <w:rsid w:val="00E077CA"/>
    <w:rsid w:val="00E12077"/>
    <w:rsid w:val="00E128EF"/>
    <w:rsid w:val="00E1526C"/>
    <w:rsid w:val="00E16925"/>
    <w:rsid w:val="00E17198"/>
    <w:rsid w:val="00E17917"/>
    <w:rsid w:val="00E17A2F"/>
    <w:rsid w:val="00E2001D"/>
    <w:rsid w:val="00E214E9"/>
    <w:rsid w:val="00E215BD"/>
    <w:rsid w:val="00E21935"/>
    <w:rsid w:val="00E2289C"/>
    <w:rsid w:val="00E23EBA"/>
    <w:rsid w:val="00E246EC"/>
    <w:rsid w:val="00E278F1"/>
    <w:rsid w:val="00E3047D"/>
    <w:rsid w:val="00E3294E"/>
    <w:rsid w:val="00E32BC9"/>
    <w:rsid w:val="00E32CD4"/>
    <w:rsid w:val="00E34119"/>
    <w:rsid w:val="00E350A8"/>
    <w:rsid w:val="00E35905"/>
    <w:rsid w:val="00E359B1"/>
    <w:rsid w:val="00E36B69"/>
    <w:rsid w:val="00E37830"/>
    <w:rsid w:val="00E4047A"/>
    <w:rsid w:val="00E41CCA"/>
    <w:rsid w:val="00E41D8C"/>
    <w:rsid w:val="00E4244E"/>
    <w:rsid w:val="00E4265A"/>
    <w:rsid w:val="00E45960"/>
    <w:rsid w:val="00E46014"/>
    <w:rsid w:val="00E47248"/>
    <w:rsid w:val="00E5039B"/>
    <w:rsid w:val="00E51E34"/>
    <w:rsid w:val="00E52010"/>
    <w:rsid w:val="00E525AD"/>
    <w:rsid w:val="00E53A15"/>
    <w:rsid w:val="00E54054"/>
    <w:rsid w:val="00E54127"/>
    <w:rsid w:val="00E57A18"/>
    <w:rsid w:val="00E57DDE"/>
    <w:rsid w:val="00E609D0"/>
    <w:rsid w:val="00E62F80"/>
    <w:rsid w:val="00E6350D"/>
    <w:rsid w:val="00E637B0"/>
    <w:rsid w:val="00E6504A"/>
    <w:rsid w:val="00E677E5"/>
    <w:rsid w:val="00E70245"/>
    <w:rsid w:val="00E70422"/>
    <w:rsid w:val="00E707A9"/>
    <w:rsid w:val="00E70B67"/>
    <w:rsid w:val="00E70DEC"/>
    <w:rsid w:val="00E71856"/>
    <w:rsid w:val="00E71BAA"/>
    <w:rsid w:val="00E726C9"/>
    <w:rsid w:val="00E733DB"/>
    <w:rsid w:val="00E7378A"/>
    <w:rsid w:val="00E73A38"/>
    <w:rsid w:val="00E741EB"/>
    <w:rsid w:val="00E74469"/>
    <w:rsid w:val="00E7641A"/>
    <w:rsid w:val="00E771F2"/>
    <w:rsid w:val="00E777F8"/>
    <w:rsid w:val="00E8148E"/>
    <w:rsid w:val="00E83F01"/>
    <w:rsid w:val="00E856D4"/>
    <w:rsid w:val="00E859FE"/>
    <w:rsid w:val="00E85F1D"/>
    <w:rsid w:val="00E86594"/>
    <w:rsid w:val="00E903D2"/>
    <w:rsid w:val="00E9157A"/>
    <w:rsid w:val="00E920E6"/>
    <w:rsid w:val="00E933D5"/>
    <w:rsid w:val="00E94059"/>
    <w:rsid w:val="00E94249"/>
    <w:rsid w:val="00E97582"/>
    <w:rsid w:val="00EA1707"/>
    <w:rsid w:val="00EA196C"/>
    <w:rsid w:val="00EA28FB"/>
    <w:rsid w:val="00EA2BC4"/>
    <w:rsid w:val="00EA315A"/>
    <w:rsid w:val="00EA3422"/>
    <w:rsid w:val="00EA3AC9"/>
    <w:rsid w:val="00EA3ADE"/>
    <w:rsid w:val="00EA4C1D"/>
    <w:rsid w:val="00EA5B86"/>
    <w:rsid w:val="00EA6331"/>
    <w:rsid w:val="00EA69AA"/>
    <w:rsid w:val="00EB078F"/>
    <w:rsid w:val="00EB3240"/>
    <w:rsid w:val="00EB4DA8"/>
    <w:rsid w:val="00EB69DF"/>
    <w:rsid w:val="00EB7291"/>
    <w:rsid w:val="00EC08A7"/>
    <w:rsid w:val="00EC08F9"/>
    <w:rsid w:val="00EC184D"/>
    <w:rsid w:val="00EC2511"/>
    <w:rsid w:val="00EC28A9"/>
    <w:rsid w:val="00EC376A"/>
    <w:rsid w:val="00EC40A0"/>
    <w:rsid w:val="00EC50EC"/>
    <w:rsid w:val="00EC58D4"/>
    <w:rsid w:val="00EC5AB6"/>
    <w:rsid w:val="00EC5ABC"/>
    <w:rsid w:val="00EC6FAA"/>
    <w:rsid w:val="00ED14D2"/>
    <w:rsid w:val="00ED217E"/>
    <w:rsid w:val="00ED3996"/>
    <w:rsid w:val="00ED619E"/>
    <w:rsid w:val="00EE1E9F"/>
    <w:rsid w:val="00EE2B8F"/>
    <w:rsid w:val="00EE6B07"/>
    <w:rsid w:val="00EE6B11"/>
    <w:rsid w:val="00EE7D67"/>
    <w:rsid w:val="00EF101B"/>
    <w:rsid w:val="00EF22EB"/>
    <w:rsid w:val="00EF2403"/>
    <w:rsid w:val="00EF3337"/>
    <w:rsid w:val="00EF3FE3"/>
    <w:rsid w:val="00EF4D83"/>
    <w:rsid w:val="00EF4DE9"/>
    <w:rsid w:val="00EF61E1"/>
    <w:rsid w:val="00EF654F"/>
    <w:rsid w:val="00EF6948"/>
    <w:rsid w:val="00EF6F3C"/>
    <w:rsid w:val="00EF74F5"/>
    <w:rsid w:val="00EF7CAE"/>
    <w:rsid w:val="00EF7FC4"/>
    <w:rsid w:val="00F00851"/>
    <w:rsid w:val="00F01442"/>
    <w:rsid w:val="00F02C66"/>
    <w:rsid w:val="00F05320"/>
    <w:rsid w:val="00F07A68"/>
    <w:rsid w:val="00F1088D"/>
    <w:rsid w:val="00F10DE1"/>
    <w:rsid w:val="00F13107"/>
    <w:rsid w:val="00F13F5A"/>
    <w:rsid w:val="00F142FF"/>
    <w:rsid w:val="00F14B27"/>
    <w:rsid w:val="00F14CE3"/>
    <w:rsid w:val="00F15DE3"/>
    <w:rsid w:val="00F15EEF"/>
    <w:rsid w:val="00F16C9E"/>
    <w:rsid w:val="00F20A53"/>
    <w:rsid w:val="00F21495"/>
    <w:rsid w:val="00F223E1"/>
    <w:rsid w:val="00F22842"/>
    <w:rsid w:val="00F2625C"/>
    <w:rsid w:val="00F26F62"/>
    <w:rsid w:val="00F27F05"/>
    <w:rsid w:val="00F310A2"/>
    <w:rsid w:val="00F31694"/>
    <w:rsid w:val="00F329C9"/>
    <w:rsid w:val="00F374C9"/>
    <w:rsid w:val="00F40101"/>
    <w:rsid w:val="00F412D1"/>
    <w:rsid w:val="00F41688"/>
    <w:rsid w:val="00F43CAE"/>
    <w:rsid w:val="00F45051"/>
    <w:rsid w:val="00F461A9"/>
    <w:rsid w:val="00F50AED"/>
    <w:rsid w:val="00F50C61"/>
    <w:rsid w:val="00F511A2"/>
    <w:rsid w:val="00F51DFD"/>
    <w:rsid w:val="00F53486"/>
    <w:rsid w:val="00F54156"/>
    <w:rsid w:val="00F55083"/>
    <w:rsid w:val="00F55204"/>
    <w:rsid w:val="00F60D30"/>
    <w:rsid w:val="00F62DA4"/>
    <w:rsid w:val="00F64F07"/>
    <w:rsid w:val="00F66A94"/>
    <w:rsid w:val="00F67238"/>
    <w:rsid w:val="00F679DB"/>
    <w:rsid w:val="00F67EDF"/>
    <w:rsid w:val="00F706DE"/>
    <w:rsid w:val="00F71797"/>
    <w:rsid w:val="00F749D3"/>
    <w:rsid w:val="00F75001"/>
    <w:rsid w:val="00F76E43"/>
    <w:rsid w:val="00F77B4F"/>
    <w:rsid w:val="00F81775"/>
    <w:rsid w:val="00F82EE6"/>
    <w:rsid w:val="00F83157"/>
    <w:rsid w:val="00F8366A"/>
    <w:rsid w:val="00F8391E"/>
    <w:rsid w:val="00F84BAC"/>
    <w:rsid w:val="00F84BEE"/>
    <w:rsid w:val="00F851F7"/>
    <w:rsid w:val="00F85CD1"/>
    <w:rsid w:val="00F86704"/>
    <w:rsid w:val="00F86FC2"/>
    <w:rsid w:val="00F91755"/>
    <w:rsid w:val="00F9477A"/>
    <w:rsid w:val="00F956D1"/>
    <w:rsid w:val="00F96614"/>
    <w:rsid w:val="00F976D8"/>
    <w:rsid w:val="00FA2509"/>
    <w:rsid w:val="00FA335D"/>
    <w:rsid w:val="00FA4480"/>
    <w:rsid w:val="00FA5AB5"/>
    <w:rsid w:val="00FA6781"/>
    <w:rsid w:val="00FA685E"/>
    <w:rsid w:val="00FA7723"/>
    <w:rsid w:val="00FB0115"/>
    <w:rsid w:val="00FB0C89"/>
    <w:rsid w:val="00FB3D6F"/>
    <w:rsid w:val="00FB57F0"/>
    <w:rsid w:val="00FB62B6"/>
    <w:rsid w:val="00FB6D98"/>
    <w:rsid w:val="00FB76C2"/>
    <w:rsid w:val="00FC011C"/>
    <w:rsid w:val="00FC020E"/>
    <w:rsid w:val="00FC110F"/>
    <w:rsid w:val="00FC1D74"/>
    <w:rsid w:val="00FC27C0"/>
    <w:rsid w:val="00FC2816"/>
    <w:rsid w:val="00FC38A3"/>
    <w:rsid w:val="00FC3C56"/>
    <w:rsid w:val="00FC41B3"/>
    <w:rsid w:val="00FC4663"/>
    <w:rsid w:val="00FC591D"/>
    <w:rsid w:val="00FC670D"/>
    <w:rsid w:val="00FC7F70"/>
    <w:rsid w:val="00FD0054"/>
    <w:rsid w:val="00FD07E0"/>
    <w:rsid w:val="00FD3649"/>
    <w:rsid w:val="00FD36D4"/>
    <w:rsid w:val="00FD4423"/>
    <w:rsid w:val="00FD4629"/>
    <w:rsid w:val="00FD6138"/>
    <w:rsid w:val="00FD6F74"/>
    <w:rsid w:val="00FD7190"/>
    <w:rsid w:val="00FD76F7"/>
    <w:rsid w:val="00FE1986"/>
    <w:rsid w:val="00FE1E8C"/>
    <w:rsid w:val="00FE29BC"/>
    <w:rsid w:val="00FE3299"/>
    <w:rsid w:val="00FE3B5C"/>
    <w:rsid w:val="00FE40FE"/>
    <w:rsid w:val="00FE4587"/>
    <w:rsid w:val="00FE53F8"/>
    <w:rsid w:val="00FE63C1"/>
    <w:rsid w:val="00FE640B"/>
    <w:rsid w:val="00FE6DB0"/>
    <w:rsid w:val="00FE7FBC"/>
    <w:rsid w:val="00FF0A09"/>
    <w:rsid w:val="00FF450D"/>
    <w:rsid w:val="00FF4A47"/>
    <w:rsid w:val="00FF528F"/>
    <w:rsid w:val="00FF65A5"/>
    <w:rsid w:val="00FF785A"/>
    <w:rsid w:val="00FF7CB3"/>
    <w:rsid w:val="030F4333"/>
    <w:rsid w:val="081B538D"/>
    <w:rsid w:val="08B634CC"/>
    <w:rsid w:val="316466A0"/>
    <w:rsid w:val="31F11EF6"/>
    <w:rsid w:val="3C5E0493"/>
    <w:rsid w:val="3CE54253"/>
    <w:rsid w:val="3F3271BB"/>
    <w:rsid w:val="42F51E8E"/>
    <w:rsid w:val="48096082"/>
    <w:rsid w:val="482937C0"/>
    <w:rsid w:val="4B4D6E6B"/>
    <w:rsid w:val="4E1129AC"/>
    <w:rsid w:val="4FB44203"/>
    <w:rsid w:val="5C061229"/>
    <w:rsid w:val="5CFB620B"/>
    <w:rsid w:val="644A4CB1"/>
    <w:rsid w:val="68046FE2"/>
    <w:rsid w:val="6EBA78E5"/>
    <w:rsid w:val="71C27680"/>
    <w:rsid w:val="757B70CD"/>
    <w:rsid w:val="76F601A6"/>
    <w:rsid w:val="7CA839AA"/>
    <w:rsid w:val="7D2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E1AB5"/>
  <w15:docId w15:val="{9519DCBF-D721-4478-B581-2AD7523E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emailstyle15">
    <w:name w:val="emailstyle15"/>
    <w:basedOn w:val="a0"/>
    <w:qFormat/>
    <w:rPr>
      <w:rFonts w:ascii="Calibri" w:hAnsi="Calibri" w:cs="Calibri" w:hint="default"/>
    </w:rPr>
  </w:style>
  <w:style w:type="table" w:customStyle="1" w:styleId="TableNormal1">
    <w:name w:val="Table Normal1"/>
    <w:basedOn w:val="a1"/>
    <w:semiHidden/>
    <w:tblPr/>
  </w:style>
  <w:style w:type="paragraph" w:customStyle="1" w:styleId="1">
    <w:name w:val="正文1"/>
    <w:qFormat/>
    <w:pPr>
      <w:spacing w:before="100" w:beforeAutospacing="1" w:after="160" w:line="256" w:lineRule="auto"/>
    </w:pPr>
    <w:rPr>
      <w:rFonts w:ascii="Calibri" w:eastAsia="等线" w:hAnsi="Calibri"/>
      <w:sz w:val="22"/>
      <w:szCs w:val="22"/>
    </w:rPr>
  </w:style>
  <w:style w:type="table" w:customStyle="1" w:styleId="TableNormal2">
    <w:name w:val="Table Normal2"/>
    <w:basedOn w:val="a1"/>
    <w:semiHidden/>
    <w:tblPr/>
  </w:style>
  <w:style w:type="paragraph" w:customStyle="1" w:styleId="10">
    <w:name w:val="列出段落1"/>
    <w:basedOn w:val="a"/>
    <w:rsid w:val="003E5D0D"/>
    <w:pPr>
      <w:spacing w:before="100" w:beforeAutospacing="1" w:line="256" w:lineRule="auto"/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2">
    <w:name w:val="正文2"/>
    <w:rsid w:val="003E5D0D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FF7617-3987-45A0-8541-6910A7B0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衷佳妮</dc:creator>
  <cp:lastModifiedBy>程龙</cp:lastModifiedBy>
  <cp:revision>68</cp:revision>
  <dcterms:created xsi:type="dcterms:W3CDTF">2024-04-29T08:03:00Z</dcterms:created>
  <dcterms:modified xsi:type="dcterms:W3CDTF">2024-10-28T07:40:00Z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