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A1D5" w14:textId="77777777" w:rsidR="00A20AE8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4E6D590B" w14:textId="77777777" w:rsidR="00A20AE8" w:rsidRDefault="00000000">
      <w:pPr>
        <w:tabs>
          <w:tab w:val="left" w:pos="2552"/>
        </w:tabs>
        <w:spacing w:beforeLines="150" w:before="468" w:line="400" w:lineRule="exact"/>
        <w:ind w:firstLine="643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65DE0EA0" w14:textId="77777777" w:rsidR="00A20AE8" w:rsidRDefault="00000000">
      <w:pPr>
        <w:tabs>
          <w:tab w:val="left" w:pos="2552"/>
        </w:tabs>
        <w:spacing w:beforeLines="50" w:before="156" w:afterLines="100" w:after="312" w:line="400" w:lineRule="exact"/>
        <w:ind w:firstLine="643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A20AE8" w14:paraId="5F3FF7B1" w14:textId="77777777">
        <w:tc>
          <w:tcPr>
            <w:tcW w:w="1668" w:type="dxa"/>
            <w:vAlign w:val="center"/>
          </w:tcPr>
          <w:p w14:paraId="53A9BBCB" w14:textId="77777777" w:rsidR="00A20AE8" w:rsidRDefault="00000000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4" w:type="dxa"/>
          </w:tcPr>
          <w:p w14:paraId="0D6FE786" w14:textId="77777777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60A0812A" w14:textId="77777777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业绩说明会/电话解读会</w:t>
            </w:r>
          </w:p>
          <w:p w14:paraId="107B2A53" w14:textId="77777777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路演活动/策略会</w:t>
            </w:r>
          </w:p>
          <w:p w14:paraId="3D28BC96" w14:textId="77777777" w:rsidR="00A20AE8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/>
                <w:bCs/>
                <w:iCs/>
                <w:sz w:val="24"/>
                <w:szCs w:val="24"/>
              </w:rPr>
              <w:tab/>
            </w:r>
          </w:p>
          <w:p w14:paraId="49837EB9" w14:textId="77777777" w:rsidR="00A20AE8" w:rsidRDefault="0000000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A20AE8" w14:paraId="7F68A266" w14:textId="77777777">
        <w:tc>
          <w:tcPr>
            <w:tcW w:w="1668" w:type="dxa"/>
            <w:vAlign w:val="center"/>
          </w:tcPr>
          <w:p w14:paraId="042B08E6" w14:textId="77777777" w:rsidR="00A20AE8" w:rsidRDefault="00000000">
            <w:pPr>
              <w:spacing w:line="480" w:lineRule="atLeast"/>
              <w:ind w:firstLine="482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854" w:type="dxa"/>
            <w:vAlign w:val="center"/>
          </w:tcPr>
          <w:p w14:paraId="697CB35A" w14:textId="77777777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平安证券、国联证券、华夏基金、泰康基金、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天风资管等</w:t>
            </w:r>
            <w:proofErr w:type="gramEnd"/>
          </w:p>
        </w:tc>
      </w:tr>
      <w:tr w:rsidR="00A20AE8" w14:paraId="7922CFB2" w14:textId="77777777">
        <w:tc>
          <w:tcPr>
            <w:tcW w:w="1668" w:type="dxa"/>
            <w:vAlign w:val="center"/>
          </w:tcPr>
          <w:p w14:paraId="4DFCE854" w14:textId="77777777" w:rsidR="00A20AE8" w:rsidRDefault="00000000">
            <w:pPr>
              <w:spacing w:line="480" w:lineRule="atLeast"/>
              <w:ind w:firstLine="482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4" w:type="dxa"/>
          </w:tcPr>
          <w:p w14:paraId="63E3E4F2" w14:textId="77777777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2024年10月21日</w:t>
            </w:r>
          </w:p>
        </w:tc>
      </w:tr>
      <w:tr w:rsidR="00A20AE8" w14:paraId="6E753020" w14:textId="77777777" w:rsidTr="00A04AF0">
        <w:tc>
          <w:tcPr>
            <w:tcW w:w="1668" w:type="dxa"/>
            <w:vAlign w:val="center"/>
          </w:tcPr>
          <w:p w14:paraId="6E2EBC7F" w14:textId="77777777" w:rsidR="00A20AE8" w:rsidRDefault="00000000">
            <w:pPr>
              <w:spacing w:line="480" w:lineRule="atLeast"/>
              <w:ind w:firstLine="482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  <w:vAlign w:val="center"/>
          </w:tcPr>
          <w:p w14:paraId="58365F34" w14:textId="50128364" w:rsidR="00A20AE8" w:rsidRDefault="00000000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董事会秘书</w:t>
            </w:r>
            <w:r w:rsidR="00143B14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副总会计师</w:t>
            </w:r>
            <w:r w:rsidR="00143B14">
              <w:rPr>
                <w:rFonts w:ascii="宋体" w:hint="eastAsia"/>
                <w:bCs/>
                <w:iCs/>
                <w:sz w:val="24"/>
                <w:szCs w:val="24"/>
              </w:rPr>
              <w:t>兼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计划财务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部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部长   朱清海</w:t>
            </w:r>
          </w:p>
        </w:tc>
      </w:tr>
      <w:tr w:rsidR="00A20AE8" w14:paraId="361E3F5A" w14:textId="77777777" w:rsidTr="00A34FFC">
        <w:trPr>
          <w:trHeight w:val="558"/>
        </w:trPr>
        <w:tc>
          <w:tcPr>
            <w:tcW w:w="1668" w:type="dxa"/>
            <w:vAlign w:val="center"/>
          </w:tcPr>
          <w:p w14:paraId="7EBE67DE" w14:textId="77777777" w:rsidR="00A20AE8" w:rsidRDefault="00000000">
            <w:pPr>
              <w:spacing w:line="480" w:lineRule="atLeast"/>
              <w:ind w:firstLine="482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08732801" w14:textId="77777777" w:rsidR="00A20AE8" w:rsidRDefault="00000000">
            <w:pPr>
              <w:spacing w:line="480" w:lineRule="atLeast"/>
              <w:ind w:firstLine="482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854" w:type="dxa"/>
          </w:tcPr>
          <w:p w14:paraId="258EA465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问题1：公司通过3.42亿元现金增资方式参股碳纤维企业长盛科技，获得长盛科技20%股权，公司与长盛科技在产业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链业务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协同上有什么规划？</w:t>
            </w:r>
          </w:p>
          <w:p w14:paraId="06E99988" w14:textId="71477016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A04AF0" w:rsidRPr="002B6F2C">
              <w:rPr>
                <w:rFonts w:ascii="宋体" w:hAnsi="宋体" w:hint="eastAsia"/>
                <w:bCs/>
                <w:sz w:val="24"/>
                <w:szCs w:val="24"/>
              </w:rPr>
              <w:t>参股</w:t>
            </w:r>
            <w:r w:rsidRPr="002B6F2C">
              <w:rPr>
                <w:rFonts w:ascii="宋体" w:hAnsi="宋体" w:hint="eastAsia"/>
                <w:sz w:val="24"/>
                <w:szCs w:val="24"/>
              </w:rPr>
              <w:t>长盛科技</w:t>
            </w:r>
            <w:r w:rsidR="00A04AF0" w:rsidRPr="002B6F2C">
              <w:rPr>
                <w:rFonts w:ascii="宋体" w:hAnsi="宋体" w:hint="eastAsia"/>
                <w:sz w:val="24"/>
                <w:szCs w:val="24"/>
              </w:rPr>
              <w:t>有助于</w:t>
            </w:r>
            <w:r w:rsidRPr="002B6F2C">
              <w:rPr>
                <w:rFonts w:ascii="宋体" w:hAnsi="宋体" w:hint="eastAsia"/>
                <w:sz w:val="24"/>
                <w:szCs w:val="24"/>
              </w:rPr>
              <w:t>公司</w:t>
            </w:r>
            <w:r w:rsidR="00A04AF0" w:rsidRPr="002B6F2C">
              <w:rPr>
                <w:rFonts w:ascii="宋体" w:hAnsi="宋体" w:hint="eastAsia"/>
                <w:sz w:val="24"/>
                <w:szCs w:val="24"/>
              </w:rPr>
              <w:t>后续</w:t>
            </w:r>
            <w:r w:rsidRPr="002B6F2C">
              <w:rPr>
                <w:rFonts w:ascii="宋体" w:hAnsi="宋体" w:hint="eastAsia"/>
                <w:sz w:val="24"/>
                <w:szCs w:val="24"/>
              </w:rPr>
              <w:t>开拓非航及民品市场。</w:t>
            </w:r>
            <w:r w:rsidRPr="002B6F2C">
              <w:rPr>
                <w:rFonts w:ascii="宋体" w:hAnsi="宋体" w:hint="eastAsia"/>
                <w:bCs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品市场需要对客户需求响应更快速，</w:t>
            </w:r>
            <w:r w:rsidR="006F21B6">
              <w:rPr>
                <w:rFonts w:ascii="宋体" w:hAnsi="宋体" w:hint="eastAsia"/>
                <w:bCs/>
                <w:sz w:val="24"/>
                <w:szCs w:val="24"/>
              </w:rPr>
              <w:t>结合公司规划进行产业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布局。公司与股东方</w:t>
            </w:r>
            <w:r>
              <w:rPr>
                <w:rFonts w:ascii="宋体" w:hAnsi="宋体" w:hint="eastAsia"/>
                <w:sz w:val="24"/>
                <w:szCs w:val="24"/>
              </w:rPr>
              <w:t>制造院的全资子公司中航制造、长盛科技在深圳成立子公司，是公司借助股东方的资源在市场化的产品方面做的布局和尝试。</w:t>
            </w:r>
          </w:p>
          <w:p w14:paraId="6AB45184" w14:textId="77777777" w:rsidR="00A21F95" w:rsidRP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22151914" w14:textId="77777777" w:rsidR="00A20AE8" w:rsidRDefault="00000000">
            <w:pPr>
              <w:spacing w:line="360" w:lineRule="auto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问题2：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公司成立深圳子公司，是否是为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相关的结构件的需求开展的能力建设？中国航空工业集团对公司在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ascii="宋体" w:hAnsi="宋体" w:cs="Times" w:hint="eastAsia"/>
                <w:b/>
                <w:bCs/>
                <w:sz w:val="24"/>
                <w:szCs w:val="24"/>
              </w:rPr>
              <w:t>未来的战略定位是什么？</w:t>
            </w:r>
          </w:p>
          <w:p w14:paraId="2EBAAE3E" w14:textId="58F00D38" w:rsidR="00A20AE8" w:rsidRDefault="00000000">
            <w:pPr>
              <w:spacing w:line="360" w:lineRule="auto"/>
              <w:ind w:firstLineChars="175" w:firstLine="4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答：面对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的需求和发展，公司需要新的平台快速响应市场化的民品需求。</w:t>
            </w:r>
            <w:r>
              <w:rPr>
                <w:rFonts w:ascii="宋体" w:hAnsi="宋体" w:hint="eastAsia"/>
                <w:sz w:val="24"/>
                <w:szCs w:val="24"/>
              </w:rPr>
              <w:t>公司借助中航制造科技创新的技术体系</w:t>
            </w:r>
            <w:r w:rsidR="00A04AF0" w:rsidRPr="00A04AF0">
              <w:rPr>
                <w:rFonts w:ascii="宋体" w:hAnsi="宋体" w:hint="eastAsia"/>
                <w:sz w:val="24"/>
                <w:szCs w:val="24"/>
              </w:rPr>
              <w:t>，</w:t>
            </w:r>
            <w:r w:rsidR="00A04AF0">
              <w:rPr>
                <w:rFonts w:ascii="宋体" w:hAnsi="宋体" w:hint="eastAsia"/>
                <w:sz w:val="24"/>
                <w:szCs w:val="24"/>
              </w:rPr>
              <w:lastRenderedPageBreak/>
              <w:t>并凭借</w:t>
            </w:r>
            <w:r>
              <w:rPr>
                <w:rFonts w:ascii="宋体" w:hAnsi="宋体" w:hint="eastAsia"/>
                <w:sz w:val="24"/>
                <w:szCs w:val="24"/>
              </w:rPr>
              <w:t>公司多年的技术积累，通过长盛科技一并协同参与，从碳纤维</w:t>
            </w:r>
            <w:r w:rsidR="008F007C">
              <w:rPr>
                <w:rFonts w:ascii="宋体" w:hAnsi="宋体" w:hint="eastAsia"/>
                <w:sz w:val="24"/>
                <w:szCs w:val="24"/>
              </w:rPr>
              <w:t>原材料</w:t>
            </w:r>
            <w:r>
              <w:rPr>
                <w:rFonts w:ascii="宋体" w:hAnsi="宋体" w:hint="eastAsia"/>
                <w:sz w:val="24"/>
                <w:szCs w:val="24"/>
              </w:rPr>
              <w:t>方面加大研发，明确产业化的定位，进一步从客户角度出发，</w:t>
            </w:r>
            <w:r w:rsidR="006F21B6">
              <w:rPr>
                <w:rFonts w:ascii="宋体" w:hAnsi="宋体" w:hint="eastAsia"/>
                <w:sz w:val="24"/>
                <w:szCs w:val="24"/>
              </w:rPr>
              <w:t>结合</w:t>
            </w:r>
            <w:r>
              <w:rPr>
                <w:rFonts w:ascii="宋体" w:hAnsi="宋体" w:hint="eastAsia"/>
                <w:sz w:val="24"/>
                <w:szCs w:val="24"/>
              </w:rPr>
              <w:t>客户需求进行</w:t>
            </w:r>
            <w:r w:rsidR="006F21B6">
              <w:rPr>
                <w:rFonts w:ascii="宋体" w:hAnsi="宋体" w:hint="eastAsia"/>
                <w:sz w:val="24"/>
                <w:szCs w:val="24"/>
              </w:rPr>
              <w:t>产品</w:t>
            </w:r>
            <w:r>
              <w:rPr>
                <w:rFonts w:ascii="宋体" w:hAnsi="宋体" w:hint="eastAsia"/>
                <w:sz w:val="24"/>
                <w:szCs w:val="24"/>
              </w:rPr>
              <w:t>定位</w:t>
            </w:r>
            <w:r w:rsidR="006F21B6">
              <w:rPr>
                <w:rFonts w:ascii="宋体" w:hAnsi="宋体" w:hint="eastAsia"/>
                <w:sz w:val="24"/>
                <w:szCs w:val="24"/>
              </w:rPr>
              <w:t>和市场化开发</w:t>
            </w:r>
            <w:r w:rsidR="00143B14">
              <w:rPr>
                <w:rFonts w:ascii="宋体" w:hAnsi="宋体" w:hint="eastAsia"/>
                <w:sz w:val="24"/>
                <w:szCs w:val="24"/>
              </w:rPr>
              <w:t>，</w:t>
            </w:r>
            <w:r w:rsidR="00143B14" w:rsidRPr="00534C2D">
              <w:rPr>
                <w:rFonts w:ascii="宋体" w:hAnsi="宋体" w:hint="eastAsia"/>
                <w:sz w:val="24"/>
                <w:szCs w:val="24"/>
              </w:rPr>
              <w:t>面向以ｅＶＴＯＬ、无人机等为代表的</w:t>
            </w:r>
            <w:proofErr w:type="gramStart"/>
            <w:r w:rsidR="00143B14" w:rsidRPr="00534C2D">
              <w:rPr>
                <w:rFonts w:ascii="宋体" w:hAnsi="宋体" w:hint="eastAsia"/>
                <w:sz w:val="24"/>
                <w:szCs w:val="24"/>
              </w:rPr>
              <w:t>低空经济</w:t>
            </w:r>
            <w:proofErr w:type="gramEnd"/>
            <w:r w:rsidR="00143B14" w:rsidRPr="00534C2D">
              <w:rPr>
                <w:rFonts w:ascii="宋体" w:hAnsi="宋体" w:hint="eastAsia"/>
                <w:sz w:val="24"/>
                <w:szCs w:val="24"/>
              </w:rPr>
              <w:t>通用航空装备领域，提供具有低成本竞争优势的标准化、系列化、规模化的</w:t>
            </w:r>
            <w:proofErr w:type="gramStart"/>
            <w:r w:rsidR="00143B14" w:rsidRPr="00534C2D">
              <w:rPr>
                <w:rFonts w:ascii="宋体" w:hAnsi="宋体" w:hint="eastAsia"/>
                <w:sz w:val="24"/>
                <w:szCs w:val="24"/>
              </w:rPr>
              <w:t>预浸料</w:t>
            </w:r>
            <w:proofErr w:type="gramEnd"/>
            <w:r w:rsidR="00143B14" w:rsidRPr="00534C2D">
              <w:rPr>
                <w:rFonts w:ascii="宋体" w:hAnsi="宋体" w:hint="eastAsia"/>
                <w:sz w:val="24"/>
                <w:szCs w:val="24"/>
              </w:rPr>
              <w:t>货架产品以及轻量化、定制化、批量化结构件产品，打造装配、集成和测试能力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529A976" w14:textId="77777777" w:rsidR="00A21F95" w:rsidRDefault="00A21F95">
            <w:pPr>
              <w:spacing w:line="360" w:lineRule="auto"/>
              <w:ind w:firstLineChars="175"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1B800E4D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问题3：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目前公司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业务的进展如何？已有收入规模和未来发展情况如何？</w:t>
            </w:r>
          </w:p>
          <w:p w14:paraId="78EEDF40" w14:textId="06A0BED7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bookmarkStart w:id="0" w:name="OLE_LINK8"/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bookmarkEnd w:id="0"/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方面，公司和头部企业有一些前期的合作，</w:t>
            </w:r>
            <w:r w:rsidR="008F007C">
              <w:rPr>
                <w:rFonts w:ascii="宋体" w:hAnsi="宋体" w:hint="eastAsia"/>
                <w:sz w:val="24"/>
                <w:szCs w:val="24"/>
              </w:rPr>
              <w:t>签署了部分</w:t>
            </w:r>
            <w:r>
              <w:rPr>
                <w:rFonts w:ascii="宋体" w:hAnsi="宋体" w:hint="eastAsia"/>
                <w:sz w:val="24"/>
                <w:szCs w:val="24"/>
              </w:rPr>
              <w:t>订单，也有</w:t>
            </w:r>
            <w:r w:rsidR="008F007C">
              <w:rPr>
                <w:rFonts w:ascii="宋体" w:hAnsi="宋体" w:hint="eastAsia"/>
                <w:sz w:val="24"/>
                <w:szCs w:val="24"/>
              </w:rPr>
              <w:t>产品</w:t>
            </w:r>
            <w:r>
              <w:rPr>
                <w:rFonts w:ascii="宋体" w:hAnsi="宋体" w:hint="eastAsia"/>
                <w:sz w:val="24"/>
                <w:szCs w:val="24"/>
              </w:rPr>
              <w:t>交付，</w:t>
            </w:r>
            <w:r w:rsidR="006F21B6">
              <w:rPr>
                <w:rFonts w:ascii="宋体" w:hAnsi="宋体" w:hint="eastAsia"/>
                <w:sz w:val="24"/>
                <w:szCs w:val="24"/>
              </w:rPr>
              <w:t>目前</w:t>
            </w:r>
            <w:r>
              <w:rPr>
                <w:rFonts w:ascii="宋体" w:hAnsi="宋体" w:hint="eastAsia"/>
                <w:sz w:val="24"/>
                <w:szCs w:val="24"/>
              </w:rPr>
              <w:t>收入占公司整体收入比例不高。</w:t>
            </w:r>
          </w:p>
          <w:p w14:paraId="02493D2F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2484D3F8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问题4：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公司是否还有其他的投资规划？</w:t>
            </w:r>
          </w:p>
          <w:p w14:paraId="66690105" w14:textId="62843E12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sz w:val="24"/>
                <w:szCs w:val="24"/>
              </w:rPr>
              <w:t>按照公司2024年年初的投资计划，有股权类和固定资产类的投资，其中包括复材先进预浸料能力提升项目，该项目目前基本上接近尾声，其余投资项目按照年度目标计划在推进。公司2025年</w:t>
            </w:r>
            <w:bookmarkStart w:id="1" w:name="OLE_LINK1"/>
            <w:r>
              <w:rPr>
                <w:rFonts w:ascii="宋体" w:hAnsi="宋体" w:hint="eastAsia"/>
                <w:sz w:val="24"/>
                <w:szCs w:val="24"/>
              </w:rPr>
              <w:t>的投资规划将</w:t>
            </w:r>
            <w:bookmarkEnd w:id="1"/>
            <w:r>
              <w:rPr>
                <w:rFonts w:ascii="宋体" w:hAnsi="宋体" w:hint="eastAsia"/>
                <w:sz w:val="24"/>
                <w:szCs w:val="24"/>
              </w:rPr>
              <w:t>结合公司整体经营计划制定。</w:t>
            </w:r>
          </w:p>
          <w:p w14:paraId="3D8ADABD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54E752CE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问题5：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截至2024年三季度末，公司在建工程0.97亿元，较年初减少64.37%，主要是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固定资产转固所致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，是否为公司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先进航空</w:t>
            </w:r>
            <w:proofErr w:type="gramStart"/>
            <w:r>
              <w:rPr>
                <w:rFonts w:ascii="宋体" w:hAnsi="宋体"/>
                <w:b/>
                <w:bCs/>
                <w:sz w:val="24"/>
                <w:szCs w:val="24"/>
              </w:rPr>
              <w:t>预浸料</w:t>
            </w:r>
            <w:proofErr w:type="gramEnd"/>
            <w:r>
              <w:rPr>
                <w:rFonts w:ascii="宋体" w:hAnsi="宋体"/>
                <w:b/>
                <w:bCs/>
                <w:sz w:val="24"/>
                <w:szCs w:val="24"/>
              </w:rPr>
              <w:t>生产能力提升项目建设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投产？公司在产能方面未来有何规划？</w:t>
            </w:r>
          </w:p>
          <w:p w14:paraId="26601F47" w14:textId="61B64C95" w:rsidR="00A20AE8" w:rsidRPr="00F27A9E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F27A9E">
              <w:rPr>
                <w:rFonts w:ascii="宋体" w:hAnsi="宋体" w:hint="eastAsia"/>
                <w:sz w:val="24"/>
                <w:szCs w:val="24"/>
              </w:rPr>
              <w:t>答：</w:t>
            </w:r>
            <w:r w:rsidR="00D9449B" w:rsidRPr="00F27A9E">
              <w:rPr>
                <w:rFonts w:ascii="宋体" w:hAnsi="宋体" w:hint="eastAsia"/>
                <w:sz w:val="24"/>
                <w:szCs w:val="24"/>
              </w:rPr>
              <w:t>先进航空</w:t>
            </w:r>
            <w:proofErr w:type="gramStart"/>
            <w:r w:rsidR="00D9449B" w:rsidRPr="00F27A9E">
              <w:rPr>
                <w:rFonts w:ascii="宋体" w:hAnsi="宋体" w:hint="eastAsia"/>
                <w:sz w:val="24"/>
                <w:szCs w:val="24"/>
              </w:rPr>
              <w:t>预浸料</w:t>
            </w:r>
            <w:proofErr w:type="gramEnd"/>
            <w:r w:rsidR="00D9449B" w:rsidRPr="00F27A9E">
              <w:rPr>
                <w:rFonts w:ascii="宋体" w:hAnsi="宋体" w:hint="eastAsia"/>
                <w:sz w:val="24"/>
                <w:szCs w:val="24"/>
              </w:rPr>
              <w:t>生产能力提升项目部分设备和厂房已进行转固，还有一些将在后续逐步到位，该项目按照原定计划实施推进过程中，正在调试和准备。未来公司在生产能力建设方面将根据客户需求再做进一步评估。</w:t>
            </w:r>
          </w:p>
          <w:p w14:paraId="0DF38470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2EAA252C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问题6：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从国外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赫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氏、东丽等龙头企业看，其收入中商业航空航天占大头，公司对民机市场空间如何展望？相比已有业务收入规模体量如何？</w:t>
            </w:r>
          </w:p>
          <w:p w14:paraId="0E239C1D" w14:textId="574D1FE0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答：民机市场未来的空间比较大，</w:t>
            </w:r>
            <w:r w:rsidR="00A04AF0" w:rsidRPr="002B6F2C">
              <w:rPr>
                <w:rFonts w:ascii="宋体" w:hAnsi="宋体" w:hint="eastAsia"/>
                <w:sz w:val="24"/>
                <w:szCs w:val="24"/>
              </w:rPr>
              <w:t>国产大飞机交付进度稳步提升，</w:t>
            </w:r>
            <w:r w:rsidRPr="002B6F2C">
              <w:rPr>
                <w:rFonts w:ascii="宋体" w:hAnsi="宋体" w:hint="eastAsia"/>
                <w:sz w:val="24"/>
                <w:szCs w:val="24"/>
              </w:rPr>
              <w:t>为公司未来的发展提供广阔空间。公</w:t>
            </w:r>
            <w:r>
              <w:rPr>
                <w:rFonts w:ascii="宋体" w:hAnsi="宋体" w:hint="eastAsia"/>
                <w:sz w:val="24"/>
                <w:szCs w:val="24"/>
              </w:rPr>
              <w:t>司正积极准备和应对，民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机业务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方面很多工作处于前期推进和准备过程中，随着</w:t>
            </w:r>
            <w:r w:rsidR="00581B37">
              <w:rPr>
                <w:rFonts w:ascii="宋体" w:hAnsi="宋体" w:hint="eastAsia"/>
                <w:sz w:val="24"/>
                <w:szCs w:val="24"/>
              </w:rPr>
              <w:t>市场需求</w:t>
            </w:r>
            <w:r>
              <w:rPr>
                <w:rFonts w:ascii="宋体" w:hAnsi="宋体" w:hint="eastAsia"/>
                <w:sz w:val="24"/>
                <w:szCs w:val="24"/>
              </w:rPr>
              <w:t>量的逐步释放，民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机业务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对公司的贡献将进一步提升。</w:t>
            </w:r>
          </w:p>
          <w:p w14:paraId="0E8FC4A8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41527EA0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问题7：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主机厂和产业链有降价压力, 从今明两年情况看公司产品是否存在降价情形？未来产品降价的预期如何？</w:t>
            </w:r>
          </w:p>
          <w:p w14:paraId="14D0A907" w14:textId="2568AC2D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答：从公司角度看，部分产品价格涉及到相关主机做了一些调整，</w:t>
            </w:r>
            <w:r w:rsidR="00581B37">
              <w:rPr>
                <w:rFonts w:ascii="宋体" w:hAnsi="宋体" w:hint="eastAsia"/>
                <w:sz w:val="24"/>
                <w:szCs w:val="24"/>
              </w:rPr>
              <w:t>后续</w:t>
            </w:r>
            <w:r>
              <w:rPr>
                <w:rFonts w:ascii="宋体" w:hAnsi="宋体" w:hint="eastAsia"/>
                <w:sz w:val="24"/>
                <w:szCs w:val="24"/>
              </w:rPr>
              <w:t>产品</w:t>
            </w:r>
            <w:r w:rsidR="00581B37">
              <w:rPr>
                <w:rFonts w:ascii="宋体" w:hAnsi="宋体" w:hint="eastAsia"/>
                <w:sz w:val="24"/>
                <w:szCs w:val="24"/>
              </w:rPr>
              <w:t>价格将结合</w:t>
            </w:r>
            <w:r>
              <w:rPr>
                <w:rFonts w:ascii="宋体" w:hAnsi="宋体" w:hint="eastAsia"/>
                <w:sz w:val="24"/>
                <w:szCs w:val="24"/>
              </w:rPr>
              <w:t>主机</w:t>
            </w:r>
            <w:r w:rsidR="00581B37">
              <w:rPr>
                <w:rFonts w:ascii="宋体" w:hAnsi="宋体" w:hint="eastAsia"/>
                <w:sz w:val="24"/>
                <w:szCs w:val="24"/>
              </w:rPr>
              <w:t>定价</w:t>
            </w:r>
            <w:r>
              <w:rPr>
                <w:rFonts w:ascii="宋体" w:hAnsi="宋体" w:hint="eastAsia"/>
                <w:sz w:val="24"/>
                <w:szCs w:val="24"/>
              </w:rPr>
              <w:t>，公司也会</w:t>
            </w:r>
            <w:r w:rsidR="00581B37">
              <w:rPr>
                <w:rFonts w:ascii="宋体" w:hAnsi="宋体" w:hint="eastAsia"/>
                <w:sz w:val="24"/>
                <w:szCs w:val="24"/>
              </w:rPr>
              <w:t>相应</w:t>
            </w:r>
            <w:r>
              <w:rPr>
                <w:rFonts w:ascii="宋体" w:hAnsi="宋体" w:hint="eastAsia"/>
                <w:sz w:val="24"/>
                <w:szCs w:val="24"/>
              </w:rPr>
              <w:t>做一些调整，</w:t>
            </w:r>
            <w:r w:rsidR="00353A52">
              <w:rPr>
                <w:rFonts w:ascii="宋体" w:hAnsi="宋体" w:hint="eastAsia"/>
                <w:sz w:val="24"/>
                <w:szCs w:val="24"/>
              </w:rPr>
              <w:t>部分产品价格的调整对公司盈利水平影响较小。公司将通过加大研发创新，提高内部管理效能，积极推进降本增效，不断提高产品质量，持续为股东创造价值，积极回报股东。</w:t>
            </w:r>
          </w:p>
          <w:p w14:paraId="665E4965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19E1AB00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2" w:name="OLE_LINK2"/>
            <w:r>
              <w:rPr>
                <w:rFonts w:ascii="宋体" w:hAnsi="宋体" w:hint="eastAsia"/>
                <w:b/>
                <w:sz w:val="24"/>
                <w:szCs w:val="24"/>
              </w:rPr>
              <w:t>问题8：</w:t>
            </w:r>
            <w:bookmarkEnd w:id="2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2024年前三季度，公司毛利率38.52%，同比增加，请问未来毛利率的趋势如何？</w:t>
            </w:r>
          </w:p>
          <w:p w14:paraId="6BB37115" w14:textId="5D2EF787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答：前几年受</w:t>
            </w:r>
            <w:r w:rsidR="00C81F6E">
              <w:rPr>
                <w:rFonts w:ascii="宋体" w:hAnsi="宋体" w:hint="eastAsia"/>
                <w:sz w:val="24"/>
                <w:szCs w:val="24"/>
              </w:rPr>
              <w:t>交付产品结构变化和</w:t>
            </w:r>
            <w:r>
              <w:rPr>
                <w:rFonts w:ascii="宋体" w:hAnsi="宋体" w:hint="eastAsia"/>
                <w:sz w:val="24"/>
                <w:szCs w:val="24"/>
              </w:rPr>
              <w:t>规模</w:t>
            </w:r>
            <w:r w:rsidR="00C81F6E">
              <w:rPr>
                <w:rFonts w:ascii="宋体" w:hAnsi="宋体" w:hint="eastAsia"/>
                <w:sz w:val="24"/>
                <w:szCs w:val="24"/>
              </w:rPr>
              <w:t>效应等</w:t>
            </w:r>
            <w:r>
              <w:rPr>
                <w:rFonts w:ascii="宋体" w:hAnsi="宋体" w:hint="eastAsia"/>
                <w:sz w:val="24"/>
                <w:szCs w:val="24"/>
              </w:rPr>
              <w:t>因素的影响，公司毛利率有</w:t>
            </w:r>
            <w:r w:rsidR="00353A52">
              <w:rPr>
                <w:rFonts w:ascii="宋体" w:hAnsi="宋体" w:hint="eastAsia"/>
                <w:sz w:val="24"/>
                <w:szCs w:val="24"/>
              </w:rPr>
              <w:t>一定</w:t>
            </w:r>
            <w:r>
              <w:rPr>
                <w:rFonts w:ascii="宋体" w:hAnsi="宋体" w:hint="eastAsia"/>
                <w:sz w:val="24"/>
                <w:szCs w:val="24"/>
              </w:rPr>
              <w:t>改善；</w:t>
            </w:r>
            <w:r w:rsidR="001644F9">
              <w:rPr>
                <w:rFonts w:ascii="宋体" w:hAnsi="宋体" w:hint="eastAsia"/>
                <w:sz w:val="24"/>
                <w:szCs w:val="24"/>
              </w:rPr>
              <w:t>近</w:t>
            </w:r>
            <w:r>
              <w:rPr>
                <w:rFonts w:ascii="宋体" w:hAnsi="宋体" w:hint="eastAsia"/>
                <w:sz w:val="24"/>
                <w:szCs w:val="24"/>
              </w:rPr>
              <w:t>两年毛利率在一定的水平上没有出现大幅的波动，</w:t>
            </w:r>
            <w:r w:rsidR="001644F9">
              <w:rPr>
                <w:rFonts w:ascii="宋体" w:hAnsi="宋体" w:hint="eastAsia"/>
                <w:sz w:val="24"/>
                <w:szCs w:val="24"/>
              </w:rPr>
              <w:t>与</w:t>
            </w:r>
            <w:r>
              <w:rPr>
                <w:rFonts w:ascii="宋体" w:hAnsi="宋体" w:hint="eastAsia"/>
                <w:sz w:val="24"/>
                <w:szCs w:val="24"/>
              </w:rPr>
              <w:t>季度交付的产品结构和客户订单的</w:t>
            </w:r>
            <w:r w:rsidR="00C81F6E">
              <w:rPr>
                <w:rFonts w:ascii="宋体" w:hAnsi="宋体" w:hint="eastAsia"/>
                <w:sz w:val="24"/>
                <w:szCs w:val="24"/>
              </w:rPr>
              <w:t>需求</w:t>
            </w:r>
            <w:r>
              <w:rPr>
                <w:rFonts w:ascii="宋体" w:hAnsi="宋体" w:hint="eastAsia"/>
                <w:sz w:val="24"/>
                <w:szCs w:val="24"/>
              </w:rPr>
              <w:t>变化</w:t>
            </w:r>
            <w:r w:rsidR="001644F9">
              <w:rPr>
                <w:rFonts w:ascii="宋体" w:hAnsi="宋体" w:hint="eastAsia"/>
                <w:sz w:val="24"/>
                <w:szCs w:val="24"/>
              </w:rPr>
              <w:t>有关</w:t>
            </w:r>
            <w:r>
              <w:rPr>
                <w:rFonts w:ascii="宋体" w:hAnsi="宋体" w:hint="eastAsia"/>
                <w:sz w:val="24"/>
                <w:szCs w:val="24"/>
              </w:rPr>
              <w:t>。2024年前三季度单季度毛利率在38%-41%之间，目前结合订单来看公司整体毛利率水平</w:t>
            </w:r>
            <w:r w:rsidR="001644F9">
              <w:rPr>
                <w:rFonts w:ascii="宋体" w:hAnsi="宋体" w:hint="eastAsia"/>
                <w:sz w:val="24"/>
                <w:szCs w:val="24"/>
              </w:rPr>
              <w:t>相对保持稳定，未</w:t>
            </w:r>
            <w:r>
              <w:rPr>
                <w:rFonts w:ascii="宋体" w:hAnsi="宋体" w:hint="eastAsia"/>
                <w:sz w:val="24"/>
                <w:szCs w:val="24"/>
              </w:rPr>
              <w:t>出现大幅波动的情形。</w:t>
            </w:r>
          </w:p>
          <w:p w14:paraId="12FB5DE7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1BE7FBBD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3" w:name="OLE_LINK3"/>
            <w:r>
              <w:rPr>
                <w:rFonts w:ascii="宋体" w:hAnsi="宋体" w:hint="eastAsia"/>
                <w:b/>
                <w:sz w:val="24"/>
                <w:szCs w:val="24"/>
              </w:rPr>
              <w:t>问题9：</w:t>
            </w:r>
            <w:bookmarkEnd w:id="3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公司存货维持高位，相较半年度末有所增长，公司存货相较年初结构是否发生变化？</w:t>
            </w:r>
          </w:p>
          <w:p w14:paraId="44E64481" w14:textId="6DDAE23D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答：近几年公司存货处于下降态势，存货周转提高体现公司内部管理能力的提升，对公司资金流有正向作用。结合公司整个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收入规模来看，目前公司存货规模满足客户需求。存货结构方面，原材料、半成品和产成品的结构没有大的变化，处于正常范围内。</w:t>
            </w:r>
          </w:p>
          <w:p w14:paraId="2B1B6A75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4CE1D171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4" w:name="OLE_LINK5"/>
            <w:r>
              <w:rPr>
                <w:rFonts w:ascii="宋体" w:hAnsi="宋体" w:hint="eastAsia"/>
                <w:b/>
                <w:sz w:val="24"/>
                <w:szCs w:val="24"/>
              </w:rPr>
              <w:t>问题10：</w:t>
            </w:r>
            <w:bookmarkStart w:id="5" w:name="OLE_LINK16"/>
            <w:bookmarkEnd w:id="4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目前新设立的上海子公司进展如何？</w:t>
            </w:r>
          </w:p>
          <w:p w14:paraId="0E2CC3D4" w14:textId="01262318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答：目前，上海航空发动机复合材料有限责任公司相关管理人员已到位，正在开展生产能力的前期布局，相关厂房及设备改造正在推进中，整体按计划推进。</w:t>
            </w:r>
          </w:p>
          <w:p w14:paraId="574D3A7A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4EC460F3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6" w:name="OLE_LINK6"/>
            <w:bookmarkEnd w:id="5"/>
            <w:r>
              <w:rPr>
                <w:rFonts w:ascii="宋体" w:hAnsi="宋体" w:hint="eastAsia"/>
                <w:b/>
                <w:sz w:val="24"/>
                <w:szCs w:val="24"/>
              </w:rPr>
              <w:t>问题11：</w:t>
            </w:r>
            <w:bookmarkEnd w:id="6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2024年上半年，优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材百慕实现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营业收入1.17亿元，同比增长105.68%，主要是航空刹车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盘业务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的增长，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优材百慕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毛利率也相对较高，对公司业务有积极的影响，如何看待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优材百慕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三季度及全年的情况？</w:t>
            </w:r>
          </w:p>
          <w:p w14:paraId="716FDF0A" w14:textId="2CF153A4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优材百慕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是公司材料业务板块中发展较好的子公司，从2024年产品交付和实现成果看，</w:t>
            </w:r>
            <w:r w:rsidR="00C81F6E">
              <w:rPr>
                <w:rFonts w:ascii="宋体" w:hAnsi="宋体" w:hint="eastAsia"/>
                <w:sz w:val="24"/>
                <w:szCs w:val="24"/>
              </w:rPr>
              <w:t>预计能够完成</w:t>
            </w:r>
            <w:r>
              <w:rPr>
                <w:rFonts w:ascii="宋体" w:hAnsi="宋体" w:hint="eastAsia"/>
                <w:sz w:val="24"/>
                <w:szCs w:val="24"/>
              </w:rPr>
              <w:t>全年任务</w:t>
            </w:r>
            <w:r w:rsidRPr="002B6F2C">
              <w:rPr>
                <w:rFonts w:ascii="宋体" w:hAnsi="宋体" w:hint="eastAsia"/>
                <w:sz w:val="24"/>
                <w:szCs w:val="24"/>
              </w:rPr>
              <w:t>，部分产品交付量会略优于计划。</w:t>
            </w:r>
            <w:proofErr w:type="gramStart"/>
            <w:r w:rsidRPr="002B6F2C">
              <w:rPr>
                <w:rFonts w:ascii="宋体" w:hAnsi="宋体" w:hint="eastAsia"/>
                <w:sz w:val="24"/>
                <w:szCs w:val="24"/>
              </w:rPr>
              <w:t>优材百</w:t>
            </w:r>
            <w:r>
              <w:rPr>
                <w:rFonts w:ascii="宋体" w:hAnsi="宋体" w:hint="eastAsia"/>
                <w:sz w:val="24"/>
                <w:szCs w:val="24"/>
              </w:rPr>
              <w:t>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多年来持续投入产品研发，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碳盘取证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方面近年来连续取得</w:t>
            </w:r>
            <w:r w:rsidR="001644F9">
              <w:rPr>
                <w:rFonts w:ascii="宋体" w:hAnsi="宋体" w:hint="eastAsia"/>
                <w:sz w:val="24"/>
                <w:szCs w:val="24"/>
              </w:rPr>
              <w:t>系列</w:t>
            </w:r>
            <w:r>
              <w:rPr>
                <w:rFonts w:ascii="宋体" w:hAnsi="宋体" w:hint="eastAsia"/>
                <w:sz w:val="24"/>
                <w:szCs w:val="24"/>
              </w:rPr>
              <w:t>PMA证书，2023年开始优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材百慕市场</w:t>
            </w:r>
            <w:proofErr w:type="gramEnd"/>
            <w:r w:rsidR="001644F9">
              <w:rPr>
                <w:rFonts w:ascii="宋体" w:hAnsi="宋体" w:hint="eastAsia"/>
                <w:sz w:val="24"/>
                <w:szCs w:val="24"/>
              </w:rPr>
              <w:t>需求逐步释放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碳盘贡献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较大，公司前两年在南通进行了</w:t>
            </w:r>
            <w:r w:rsidR="001644F9">
              <w:rPr>
                <w:rFonts w:ascii="宋体" w:hAnsi="宋体" w:hint="eastAsia"/>
                <w:sz w:val="24"/>
                <w:szCs w:val="24"/>
              </w:rPr>
              <w:t>产能</w:t>
            </w:r>
            <w:r>
              <w:rPr>
                <w:rFonts w:ascii="宋体" w:hAnsi="宋体" w:hint="eastAsia"/>
                <w:sz w:val="24"/>
                <w:szCs w:val="24"/>
              </w:rPr>
              <w:t>布局，对</w:t>
            </w:r>
            <w:r w:rsidR="001644F9">
              <w:rPr>
                <w:rFonts w:ascii="宋体" w:hAnsi="宋体" w:hint="eastAsia"/>
                <w:sz w:val="24"/>
                <w:szCs w:val="24"/>
              </w:rPr>
              <w:t>产品</w:t>
            </w:r>
            <w:r>
              <w:rPr>
                <w:rFonts w:ascii="宋体" w:hAnsi="宋体" w:hint="eastAsia"/>
                <w:sz w:val="24"/>
                <w:szCs w:val="24"/>
              </w:rPr>
              <w:t>交付</w:t>
            </w:r>
            <w:r w:rsidR="00C81F6E">
              <w:rPr>
                <w:rFonts w:ascii="宋体" w:hAnsi="宋体" w:hint="eastAsia"/>
                <w:sz w:val="24"/>
                <w:szCs w:val="24"/>
              </w:rPr>
              <w:t>发挥了积极支撑</w:t>
            </w:r>
            <w:r>
              <w:rPr>
                <w:rFonts w:ascii="宋体" w:hAnsi="宋体" w:hint="eastAsia"/>
                <w:sz w:val="24"/>
                <w:szCs w:val="24"/>
              </w:rPr>
              <w:t>作用。</w:t>
            </w:r>
          </w:p>
          <w:p w14:paraId="361C0573" w14:textId="77777777" w:rsidR="00A21F95" w:rsidRDefault="00A21F95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3754B8C6" w14:textId="77777777" w:rsidR="00A20AE8" w:rsidRDefault="0000000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7" w:name="OLE_LINK7"/>
            <w:r>
              <w:rPr>
                <w:rFonts w:ascii="宋体" w:hAnsi="宋体" w:hint="eastAsia"/>
                <w:b/>
                <w:sz w:val="24"/>
                <w:szCs w:val="24"/>
              </w:rPr>
              <w:t>问题12：</w:t>
            </w:r>
            <w:bookmarkEnd w:id="7"/>
            <w:r>
              <w:rPr>
                <w:rFonts w:ascii="宋体" w:hAnsi="宋体" w:hint="eastAsia"/>
                <w:b/>
                <w:sz w:val="24"/>
                <w:szCs w:val="24"/>
              </w:rPr>
              <w:t>从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公司三季度情况看，公司航空先进制造技术产业化业务（含高端智能装备业务）实现营业收入同比、环比均大幅增长，实现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同比环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比显著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减亏。装备业务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从传统的金属切削机床实现向航空专用装备、航空零部件加工等方向发展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，装备业务主要的增长来源是什么？对经营管理改善的趋势展望一下？</w:t>
            </w:r>
          </w:p>
          <w:p w14:paraId="007670D9" w14:textId="412278E2" w:rsidR="00A20AE8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子公司航智装备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承接面向制造院和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复材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公司部分航空零部件的加工制造，聚焦航空装备业务，相关订单的毛利率比机床产品高一些，</w:t>
            </w:r>
            <w:r w:rsidR="001644F9">
              <w:rPr>
                <w:rFonts w:ascii="宋体" w:hAnsi="宋体" w:hint="eastAsia"/>
                <w:sz w:val="24"/>
                <w:szCs w:val="24"/>
              </w:rPr>
              <w:t>产品边际贡献得到改善</w:t>
            </w:r>
            <w:r>
              <w:rPr>
                <w:rFonts w:ascii="宋体" w:hAnsi="宋体" w:hint="eastAsia"/>
                <w:sz w:val="24"/>
                <w:szCs w:val="24"/>
              </w:rPr>
              <w:t>。公司将持续聚焦扭亏减亏和改革的推进，围绕内部</w:t>
            </w:r>
            <w:r w:rsidR="00C81F6E">
              <w:rPr>
                <w:rFonts w:ascii="宋体" w:hAnsi="宋体" w:hint="eastAsia"/>
                <w:sz w:val="24"/>
                <w:szCs w:val="24"/>
              </w:rPr>
              <w:t>业务</w:t>
            </w:r>
            <w:r>
              <w:rPr>
                <w:rFonts w:ascii="宋体" w:hAnsi="宋体" w:hint="eastAsia"/>
                <w:sz w:val="24"/>
                <w:szCs w:val="24"/>
              </w:rPr>
              <w:t>资源</w:t>
            </w:r>
            <w:r w:rsidR="001644F9">
              <w:rPr>
                <w:rFonts w:ascii="宋体" w:hAnsi="宋体" w:hint="eastAsia"/>
                <w:sz w:val="24"/>
                <w:szCs w:val="24"/>
              </w:rPr>
              <w:t>和</w:t>
            </w:r>
            <w:r w:rsidR="00833ED8">
              <w:rPr>
                <w:rFonts w:ascii="宋体" w:hAnsi="宋体" w:hint="eastAsia"/>
                <w:sz w:val="24"/>
                <w:szCs w:val="24"/>
              </w:rPr>
              <w:t>外部市场拓展</w:t>
            </w:r>
            <w:r>
              <w:rPr>
                <w:rFonts w:ascii="宋体" w:hAnsi="宋体" w:hint="eastAsia"/>
                <w:sz w:val="24"/>
                <w:szCs w:val="24"/>
              </w:rPr>
              <w:t>推动装备业务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走出困境。</w:t>
            </w:r>
          </w:p>
        </w:tc>
      </w:tr>
    </w:tbl>
    <w:p w14:paraId="35D14F67" w14:textId="77777777" w:rsidR="00A20AE8" w:rsidRDefault="00A20AE8">
      <w:pPr>
        <w:autoSpaceDE w:val="0"/>
        <w:autoSpaceDN w:val="0"/>
        <w:adjustRightInd w:val="0"/>
        <w:snapToGrid w:val="0"/>
        <w:ind w:firstLine="200"/>
        <w:rPr>
          <w:rFonts w:eastAsia="方正仿宋简体"/>
          <w:sz w:val="10"/>
          <w:szCs w:val="10"/>
        </w:rPr>
      </w:pPr>
    </w:p>
    <w:p w14:paraId="6B4C6276" w14:textId="77777777" w:rsidR="00A20AE8" w:rsidRDefault="00A20AE8"/>
    <w:sectPr w:rsidR="00A20AE8">
      <w:footerReference w:type="default" r:id="rId6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E7622" w14:textId="77777777" w:rsidR="00531420" w:rsidRDefault="00531420">
      <w:r>
        <w:separator/>
      </w:r>
    </w:p>
    <w:p w14:paraId="15D6BCDD" w14:textId="77777777" w:rsidR="00531420" w:rsidRDefault="00531420"/>
    <w:p w14:paraId="6A181AD6" w14:textId="77777777" w:rsidR="00531420" w:rsidRDefault="00531420"/>
  </w:endnote>
  <w:endnote w:type="continuationSeparator" w:id="0">
    <w:p w14:paraId="277FC03F" w14:textId="77777777" w:rsidR="00531420" w:rsidRDefault="00531420">
      <w:r>
        <w:continuationSeparator/>
      </w:r>
    </w:p>
    <w:p w14:paraId="6AFEF080" w14:textId="77777777" w:rsidR="00531420" w:rsidRDefault="00531420"/>
    <w:p w14:paraId="515D4081" w14:textId="77777777" w:rsidR="00531420" w:rsidRDefault="00531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2E4E" w14:textId="77777777" w:rsidR="00A20AE8" w:rsidRDefault="00000000">
    <w:pPr>
      <w:pStyle w:val="a3"/>
      <w:ind w:firstLine="3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453AFE85" w14:textId="77777777" w:rsidR="00A20AE8" w:rsidRDefault="00A20AE8">
    <w:pPr>
      <w:pStyle w:val="a3"/>
      <w:ind w:firstLine="360"/>
    </w:pPr>
  </w:p>
  <w:p w14:paraId="2303472A" w14:textId="77777777" w:rsidR="00360305" w:rsidRDefault="00360305"/>
  <w:p w14:paraId="0A9F609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B43A" w14:textId="77777777" w:rsidR="00531420" w:rsidRDefault="00531420">
      <w:r>
        <w:separator/>
      </w:r>
    </w:p>
    <w:p w14:paraId="1934E492" w14:textId="77777777" w:rsidR="00531420" w:rsidRDefault="00531420"/>
    <w:p w14:paraId="1D31842A" w14:textId="77777777" w:rsidR="00531420" w:rsidRDefault="00531420"/>
  </w:footnote>
  <w:footnote w:type="continuationSeparator" w:id="0">
    <w:p w14:paraId="3DC3B22B" w14:textId="77777777" w:rsidR="00531420" w:rsidRDefault="00531420">
      <w:r>
        <w:continuationSeparator/>
      </w:r>
    </w:p>
    <w:p w14:paraId="17970100" w14:textId="77777777" w:rsidR="00531420" w:rsidRDefault="00531420"/>
    <w:p w14:paraId="170E2DA0" w14:textId="77777777" w:rsidR="00531420" w:rsidRDefault="00531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FhZWExNzE0NzU0NDI1ZTgwNWQwNTljMGVlOWQyYjMifQ=="/>
  </w:docVars>
  <w:rsids>
    <w:rsidRoot w:val="562A4585"/>
    <w:rsid w:val="00006DFE"/>
    <w:rsid w:val="000305C1"/>
    <w:rsid w:val="00073478"/>
    <w:rsid w:val="000D3CF5"/>
    <w:rsid w:val="000F4619"/>
    <w:rsid w:val="00142302"/>
    <w:rsid w:val="00143B14"/>
    <w:rsid w:val="001644F9"/>
    <w:rsid w:val="0017407A"/>
    <w:rsid w:val="00215A26"/>
    <w:rsid w:val="002238DE"/>
    <w:rsid w:val="002A6A0E"/>
    <w:rsid w:val="002B6F2C"/>
    <w:rsid w:val="002F2B83"/>
    <w:rsid w:val="00321F59"/>
    <w:rsid w:val="00324E16"/>
    <w:rsid w:val="003260A9"/>
    <w:rsid w:val="00353A52"/>
    <w:rsid w:val="00360305"/>
    <w:rsid w:val="0036115A"/>
    <w:rsid w:val="00384153"/>
    <w:rsid w:val="003B5A95"/>
    <w:rsid w:val="004E6BEE"/>
    <w:rsid w:val="004F23E2"/>
    <w:rsid w:val="00531420"/>
    <w:rsid w:val="00534C2D"/>
    <w:rsid w:val="00561309"/>
    <w:rsid w:val="00581B37"/>
    <w:rsid w:val="005A6AEF"/>
    <w:rsid w:val="005C729C"/>
    <w:rsid w:val="005D103B"/>
    <w:rsid w:val="00602A26"/>
    <w:rsid w:val="00675945"/>
    <w:rsid w:val="006F21B6"/>
    <w:rsid w:val="006F5624"/>
    <w:rsid w:val="007A6E79"/>
    <w:rsid w:val="007E344D"/>
    <w:rsid w:val="00833ED8"/>
    <w:rsid w:val="008972FD"/>
    <w:rsid w:val="008F007C"/>
    <w:rsid w:val="00944D5E"/>
    <w:rsid w:val="00951ACE"/>
    <w:rsid w:val="009562F3"/>
    <w:rsid w:val="00965C3D"/>
    <w:rsid w:val="00A04AF0"/>
    <w:rsid w:val="00A139BC"/>
    <w:rsid w:val="00A20AE8"/>
    <w:rsid w:val="00A218C5"/>
    <w:rsid w:val="00A21F95"/>
    <w:rsid w:val="00A34FFC"/>
    <w:rsid w:val="00A965D6"/>
    <w:rsid w:val="00AB0305"/>
    <w:rsid w:val="00B451CE"/>
    <w:rsid w:val="00C45F6D"/>
    <w:rsid w:val="00C81F6E"/>
    <w:rsid w:val="00C868A7"/>
    <w:rsid w:val="00D44409"/>
    <w:rsid w:val="00D9449B"/>
    <w:rsid w:val="00E16134"/>
    <w:rsid w:val="00E45A3C"/>
    <w:rsid w:val="00E72AB0"/>
    <w:rsid w:val="00EA113C"/>
    <w:rsid w:val="00EF4489"/>
    <w:rsid w:val="00F27A9E"/>
    <w:rsid w:val="00F53A44"/>
    <w:rsid w:val="00F66685"/>
    <w:rsid w:val="00F908D1"/>
    <w:rsid w:val="010B40EA"/>
    <w:rsid w:val="01493254"/>
    <w:rsid w:val="01552B80"/>
    <w:rsid w:val="01623DFD"/>
    <w:rsid w:val="01755B75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E737A8"/>
    <w:rsid w:val="05010348"/>
    <w:rsid w:val="05102D9E"/>
    <w:rsid w:val="05135CE1"/>
    <w:rsid w:val="05161C5D"/>
    <w:rsid w:val="052C4D57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6C3AC0"/>
    <w:rsid w:val="08727BC8"/>
    <w:rsid w:val="089469F3"/>
    <w:rsid w:val="089A3BFD"/>
    <w:rsid w:val="089F0517"/>
    <w:rsid w:val="08A93800"/>
    <w:rsid w:val="08AA23AF"/>
    <w:rsid w:val="08CE770B"/>
    <w:rsid w:val="09073BD3"/>
    <w:rsid w:val="091F057F"/>
    <w:rsid w:val="09932422"/>
    <w:rsid w:val="09C803B7"/>
    <w:rsid w:val="0A2E1809"/>
    <w:rsid w:val="0A3517AC"/>
    <w:rsid w:val="0A397286"/>
    <w:rsid w:val="0A3A4A32"/>
    <w:rsid w:val="0A3F0CBD"/>
    <w:rsid w:val="0A5861D1"/>
    <w:rsid w:val="0A6465ED"/>
    <w:rsid w:val="0A980695"/>
    <w:rsid w:val="0AA85114"/>
    <w:rsid w:val="0AAD787B"/>
    <w:rsid w:val="0AE76DA9"/>
    <w:rsid w:val="0B1669F7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ED44B5"/>
    <w:rsid w:val="11EF7390"/>
    <w:rsid w:val="121C6E80"/>
    <w:rsid w:val="123B5CF1"/>
    <w:rsid w:val="12545A1B"/>
    <w:rsid w:val="127113B5"/>
    <w:rsid w:val="12866784"/>
    <w:rsid w:val="128B7E8C"/>
    <w:rsid w:val="128F5CDD"/>
    <w:rsid w:val="12F96E3D"/>
    <w:rsid w:val="130E25C5"/>
    <w:rsid w:val="134563D8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5FE4761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D46AD1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AB9"/>
    <w:rsid w:val="1A3B42AF"/>
    <w:rsid w:val="1A460DB8"/>
    <w:rsid w:val="1A835664"/>
    <w:rsid w:val="1AEF0093"/>
    <w:rsid w:val="1B0A77F6"/>
    <w:rsid w:val="1B1A52D7"/>
    <w:rsid w:val="1B550DF2"/>
    <w:rsid w:val="1B561C08"/>
    <w:rsid w:val="1B6A0E2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220B2A"/>
    <w:rsid w:val="20744B57"/>
    <w:rsid w:val="207E5971"/>
    <w:rsid w:val="20A85482"/>
    <w:rsid w:val="210145A1"/>
    <w:rsid w:val="214165DD"/>
    <w:rsid w:val="2143105B"/>
    <w:rsid w:val="214D10AC"/>
    <w:rsid w:val="21774AB8"/>
    <w:rsid w:val="217C0E01"/>
    <w:rsid w:val="218B6C0E"/>
    <w:rsid w:val="21985D45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E3F1B"/>
    <w:rsid w:val="225F00B2"/>
    <w:rsid w:val="22834802"/>
    <w:rsid w:val="2297335B"/>
    <w:rsid w:val="22DA3D0E"/>
    <w:rsid w:val="23596EA1"/>
    <w:rsid w:val="239332A8"/>
    <w:rsid w:val="23B91229"/>
    <w:rsid w:val="23CD5B66"/>
    <w:rsid w:val="23D8419E"/>
    <w:rsid w:val="23F91FA9"/>
    <w:rsid w:val="240B4D18"/>
    <w:rsid w:val="24280900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5F44C6B"/>
    <w:rsid w:val="2602565B"/>
    <w:rsid w:val="261A6EE9"/>
    <w:rsid w:val="26234B30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FC32F6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F021D63"/>
    <w:rsid w:val="2F061AAA"/>
    <w:rsid w:val="2F1F1A24"/>
    <w:rsid w:val="2F471C59"/>
    <w:rsid w:val="2F6403BA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1D3E91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E71F99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47DD5"/>
    <w:rsid w:val="3B5E4556"/>
    <w:rsid w:val="3B850FCB"/>
    <w:rsid w:val="3B8B5DEA"/>
    <w:rsid w:val="3BA1503C"/>
    <w:rsid w:val="3BC94894"/>
    <w:rsid w:val="3BDC7B50"/>
    <w:rsid w:val="3C125CC6"/>
    <w:rsid w:val="3C247355"/>
    <w:rsid w:val="3C651FB2"/>
    <w:rsid w:val="3C7766AD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1D6BA4"/>
    <w:rsid w:val="3E230E82"/>
    <w:rsid w:val="3E4C0D0E"/>
    <w:rsid w:val="3EB91475"/>
    <w:rsid w:val="3EBA6023"/>
    <w:rsid w:val="3EBF5914"/>
    <w:rsid w:val="3EC86F96"/>
    <w:rsid w:val="3EE12A85"/>
    <w:rsid w:val="3F4C0CE5"/>
    <w:rsid w:val="3F97299B"/>
    <w:rsid w:val="3F97731F"/>
    <w:rsid w:val="3FBE182E"/>
    <w:rsid w:val="3FC359F6"/>
    <w:rsid w:val="400B6EB1"/>
    <w:rsid w:val="40204729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4461A4"/>
    <w:rsid w:val="44635CB1"/>
    <w:rsid w:val="446E0A9A"/>
    <w:rsid w:val="44B06518"/>
    <w:rsid w:val="44DE6B45"/>
    <w:rsid w:val="450C636B"/>
    <w:rsid w:val="45212FCE"/>
    <w:rsid w:val="452F019D"/>
    <w:rsid w:val="454467A4"/>
    <w:rsid w:val="456E04F1"/>
    <w:rsid w:val="456F4713"/>
    <w:rsid w:val="457B14E8"/>
    <w:rsid w:val="45BE2FE2"/>
    <w:rsid w:val="45C03EED"/>
    <w:rsid w:val="45E75E3B"/>
    <w:rsid w:val="45F34039"/>
    <w:rsid w:val="461244EF"/>
    <w:rsid w:val="462E2838"/>
    <w:rsid w:val="46312AD7"/>
    <w:rsid w:val="46394BE3"/>
    <w:rsid w:val="463A378A"/>
    <w:rsid w:val="465F53E2"/>
    <w:rsid w:val="46876666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D62B3"/>
    <w:rsid w:val="488B1987"/>
    <w:rsid w:val="48992437"/>
    <w:rsid w:val="48EE07C3"/>
    <w:rsid w:val="4905191C"/>
    <w:rsid w:val="49300AD1"/>
    <w:rsid w:val="49301E81"/>
    <w:rsid w:val="494570F0"/>
    <w:rsid w:val="499A226F"/>
    <w:rsid w:val="49A62B10"/>
    <w:rsid w:val="49DA4E1E"/>
    <w:rsid w:val="4A051308"/>
    <w:rsid w:val="4A262F16"/>
    <w:rsid w:val="4A2F72DA"/>
    <w:rsid w:val="4A5E5D08"/>
    <w:rsid w:val="4A7A78BF"/>
    <w:rsid w:val="4A9344B9"/>
    <w:rsid w:val="4A995B30"/>
    <w:rsid w:val="4AA5364E"/>
    <w:rsid w:val="4AB43445"/>
    <w:rsid w:val="4AEF2299"/>
    <w:rsid w:val="4B2D0108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E213222"/>
    <w:rsid w:val="4E4905C7"/>
    <w:rsid w:val="4E5720BE"/>
    <w:rsid w:val="4EB42DE0"/>
    <w:rsid w:val="4EBE489C"/>
    <w:rsid w:val="4EDE7D39"/>
    <w:rsid w:val="4F0C70EA"/>
    <w:rsid w:val="4F1516C5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832534"/>
    <w:rsid w:val="51987CEC"/>
    <w:rsid w:val="519953A2"/>
    <w:rsid w:val="51C03A79"/>
    <w:rsid w:val="51D07D5D"/>
    <w:rsid w:val="51D23F46"/>
    <w:rsid w:val="520D55D0"/>
    <w:rsid w:val="52164861"/>
    <w:rsid w:val="521922CD"/>
    <w:rsid w:val="521F027C"/>
    <w:rsid w:val="52230D72"/>
    <w:rsid w:val="525766D1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6A11D5"/>
    <w:rsid w:val="56D71DD6"/>
    <w:rsid w:val="56E106DA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AA5695"/>
    <w:rsid w:val="5ABC018A"/>
    <w:rsid w:val="5ABE2723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E54BDC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355132"/>
    <w:rsid w:val="636E0DF9"/>
    <w:rsid w:val="63943B19"/>
    <w:rsid w:val="63A83887"/>
    <w:rsid w:val="63C91DE2"/>
    <w:rsid w:val="63CB55D6"/>
    <w:rsid w:val="63D17CE2"/>
    <w:rsid w:val="64751EC6"/>
    <w:rsid w:val="649B32B0"/>
    <w:rsid w:val="649D2769"/>
    <w:rsid w:val="64BF4854"/>
    <w:rsid w:val="64CC7E60"/>
    <w:rsid w:val="64CE5893"/>
    <w:rsid w:val="64D21EAB"/>
    <w:rsid w:val="64E31F23"/>
    <w:rsid w:val="64E36B42"/>
    <w:rsid w:val="64FF14B8"/>
    <w:rsid w:val="652C50BA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A3E5B5D"/>
    <w:rsid w:val="6A7D63BE"/>
    <w:rsid w:val="6AA7276D"/>
    <w:rsid w:val="6B113431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2C2E97"/>
    <w:rsid w:val="6D360B19"/>
    <w:rsid w:val="6D6B02C5"/>
    <w:rsid w:val="6D78600D"/>
    <w:rsid w:val="6DAC4C18"/>
    <w:rsid w:val="6DC2414A"/>
    <w:rsid w:val="6E9432AA"/>
    <w:rsid w:val="6EB11CDD"/>
    <w:rsid w:val="6EBA2EEC"/>
    <w:rsid w:val="6ECF4A1A"/>
    <w:rsid w:val="6EEB442F"/>
    <w:rsid w:val="6F0F2A81"/>
    <w:rsid w:val="6F216808"/>
    <w:rsid w:val="6F286D36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440104"/>
    <w:rsid w:val="72464B53"/>
    <w:rsid w:val="72526CE1"/>
    <w:rsid w:val="72626891"/>
    <w:rsid w:val="726C7E1B"/>
    <w:rsid w:val="727F3D45"/>
    <w:rsid w:val="729577BA"/>
    <w:rsid w:val="72B55C8E"/>
    <w:rsid w:val="72C54EB1"/>
    <w:rsid w:val="730E38E3"/>
    <w:rsid w:val="731E71E6"/>
    <w:rsid w:val="73414637"/>
    <w:rsid w:val="73445A7D"/>
    <w:rsid w:val="73466E5B"/>
    <w:rsid w:val="73727664"/>
    <w:rsid w:val="73861EA6"/>
    <w:rsid w:val="73E142EA"/>
    <w:rsid w:val="73E472F6"/>
    <w:rsid w:val="73E907B7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9EF7B08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A41D86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A6A48"/>
  <w15:docId w15:val="{E8F6359E-CB8B-4197-8DA5-6C02BDC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paragraph" w:styleId="a6">
    <w:name w:val="Revision"/>
    <w:hidden/>
    <w:uiPriority w:val="99"/>
    <w:unhideWhenUsed/>
    <w:rsid w:val="00A04AF0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支华</dc:creator>
  <cp:lastModifiedBy>支华</cp:lastModifiedBy>
  <cp:revision>7</cp:revision>
  <dcterms:created xsi:type="dcterms:W3CDTF">2024-10-28T06:22:00Z</dcterms:created>
  <dcterms:modified xsi:type="dcterms:W3CDTF">2024-10-28T08:45:00Z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52D81E25A9514FD1963D5BF5B2411FA7_13</vt:lpwstr>
  </property>
</Properties>
</file>