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bookmarkStart w:id="1" w:name="_GoBack"/>
      <w:bookmarkEnd w:id="1"/>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44"/>
          <w:szCs w:val="44"/>
        </w:rPr>
      </w:pPr>
    </w:p>
    <w:p>
      <w:pPr>
        <w:snapToGrid w:val="0"/>
        <w:spacing w:before="156" w:beforeLines="50" w:line="300" w:lineRule="auto"/>
        <w:jc w:val="center"/>
        <w:rPr>
          <w:rFonts w:ascii="黑体" w:hAnsi="Times New Roman" w:eastAsia="黑体" w:cs="Times New Roman"/>
          <w:color w:val="000000"/>
          <w:spacing w:val="12"/>
          <w:sz w:val="32"/>
        </w:rPr>
      </w:pPr>
      <w:r>
        <w:rPr>
          <w:rFonts w:hint="eastAsia" w:ascii="仿宋_GB2312" w:hAnsi="Times New Roman" w:eastAsia="仿宋_GB2312" w:cs="Times New Roman"/>
          <w:color w:val="000000"/>
          <w:spacing w:val="12"/>
          <w:sz w:val="28"/>
        </w:rPr>
        <w:t>〔20</w:t>
      </w:r>
      <w:r>
        <w:rPr>
          <w:rFonts w:hint="eastAsia" w:ascii="仿宋_GB2312" w:hAnsi="Times New Roman" w:eastAsia="仿宋_GB2312" w:cs="Times New Roman"/>
          <w:color w:val="000000"/>
          <w:spacing w:val="12"/>
          <w:sz w:val="28"/>
          <w:lang w:val="en-US" w:eastAsia="zh-CN"/>
        </w:rPr>
        <w:t>2</w:t>
      </w:r>
      <w:r>
        <w:rPr>
          <w:rFonts w:hint="default" w:ascii="仿宋_GB2312" w:eastAsia="仿宋_GB2312" w:cs="Times New Roman"/>
          <w:color w:val="000000"/>
          <w:spacing w:val="12"/>
          <w:sz w:val="28"/>
          <w:lang w:val="en-US" w:eastAsia="zh-CN"/>
        </w:rPr>
        <w:t>4</w:t>
      </w:r>
      <w:r>
        <w:rPr>
          <w:rFonts w:hint="eastAsia" w:ascii="仿宋_GB2312" w:hAnsi="Times New Roman" w:eastAsia="仿宋_GB2312" w:cs="Times New Roman"/>
          <w:color w:val="000000"/>
          <w:spacing w:val="12"/>
          <w:sz w:val="28"/>
        </w:rPr>
        <w:t>〕</w:t>
      </w:r>
      <w:r>
        <w:rPr>
          <w:rFonts w:hint="default" w:ascii="仿宋_GB2312" w:hAnsi="Times New Roman" w:eastAsia="仿宋_GB2312" w:cs="Times New Roman"/>
          <w:color w:val="000000"/>
          <w:spacing w:val="12"/>
          <w:sz w:val="28"/>
          <w:lang w:val="en-US"/>
        </w:rPr>
        <w:t>153</w:t>
      </w:r>
      <w:r>
        <w:rPr>
          <w:rFonts w:hint="eastAsia" w:ascii="仿宋_GB2312" w:hAnsi="Times New Roman" w:eastAsia="仿宋_GB2312" w:cs="Times New Roman"/>
          <w:color w:val="000000"/>
          <w:spacing w:val="12"/>
          <w:sz w:val="28"/>
        </w:rPr>
        <w:t>号</w:t>
      </w:r>
    </w:p>
    <w:p>
      <w:pPr>
        <w:snapToGrid w:val="0"/>
        <w:jc w:val="center"/>
        <w:rPr>
          <w:rFonts w:hint="eastAsia" w:ascii="仿宋_GB2312" w:hAns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MwvtZLWAAAA&#10;CAEAAA8AAAAAAAAAAQAgAAAAOAAAAGRycy9kb3ducmV2LnhtbFBLAQIUABQAAAAIAIdO4kAPjv5j&#10;/QEAAPUDAAAOAAAAAAAAAAEAIAAAADsBAABkcnMvZTJvRG9jLnhtbFBLAQIUAAoAAAAAAIdO4kAA&#10;AAAAAAAAAAAAAAAEAAAAAAAAAAAAEAAAABYAAABkcnMvUEsBAhQACgAAAAAAh07iQAAAAAAAAAAA&#10;AAAAAAYAAAAAAAAAAAAQAAAAZAMAAF9yZWxzL1BLBQYAAAAABgAGAFkBAACqBQAAAAA=&#10;">
                <v:fill on="f" focussize="0,0"/>
                <v:stroke weight="1pt" color="#FF0000" joinstyle="round"/>
                <v:imagedata o:title=""/>
                <o:lock v:ext="edit" aspectratio="f"/>
              </v:line>
            </w:pict>
          </mc:Fallback>
        </mc:AlternateContent>
      </w:r>
    </w:p>
    <w:p>
      <w:pPr>
        <w:jc w:val="center"/>
        <w:rPr>
          <w:rFonts w:hint="eastAsia"/>
          <w:sz w:val="28"/>
          <w:szCs w:val="28"/>
        </w:rPr>
      </w:pPr>
    </w:p>
    <w:p>
      <w:pPr>
        <w:adjustRightInd w:val="0"/>
        <w:snapToGrid w:val="0"/>
        <w:spacing w:line="240" w:lineRule="auto"/>
        <w:jc w:val="center"/>
        <w:rPr>
          <w:rFonts w:hint="eastAsia" w:ascii="方正小标宋简体" w:hAnsi="方正小标宋简体" w:eastAsia="方正小标宋简体" w:cs="方正小标宋简体"/>
          <w:sz w:val="44"/>
          <w:szCs w:val="44"/>
          <w:highlight w:val="none"/>
          <w:lang w:eastAsia="zh-CN"/>
        </w:rPr>
      </w:pPr>
      <w:bookmarkStart w:id="0" w:name="quanwen"/>
      <w:r>
        <w:rPr>
          <w:rFonts w:hint="eastAsia" w:ascii="方正小标宋简体" w:hAnsi="方正小标宋简体" w:eastAsia="方正小标宋简体" w:cs="方正小标宋简体"/>
          <w:sz w:val="44"/>
          <w:szCs w:val="44"/>
          <w:highlight w:val="none"/>
          <w:lang w:eastAsia="zh-CN"/>
        </w:rPr>
        <w:t>关于对广东宝莱特医用科技股份有限公司、</w:t>
      </w:r>
    </w:p>
    <w:p>
      <w:pPr>
        <w:adjustRightInd w:val="0"/>
        <w:snapToGrid w:val="0"/>
        <w:spacing w:line="240" w:lineRule="auto"/>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燕金元、许薇采取出具警示函措施的决定</w:t>
      </w:r>
    </w:p>
    <w:p>
      <w:pPr>
        <w:snapToGrid w:val="0"/>
        <w:spacing w:line="240" w:lineRule="auto"/>
        <w:jc w:val="both"/>
        <w:rPr>
          <w:rFonts w:hint="eastAsia" w:ascii="方正小标宋简体" w:hAnsi="方正小标宋简体" w:eastAsia="方正小标宋简体" w:cs="方正小标宋简体"/>
          <w:sz w:val="32"/>
          <w:szCs w:val="32"/>
          <w:highlight w:val="none"/>
          <w:lang w:eastAsia="zh-CN"/>
        </w:rPr>
      </w:pPr>
    </w:p>
    <w:p>
      <w:pPr>
        <w:keepNext w:val="0"/>
        <w:keepLines w:val="0"/>
        <w:pageBreakBefore w:val="0"/>
        <w:widowControl w:val="0"/>
        <w:kinsoku/>
        <w:wordWrap/>
        <w:overflowPunct w:val="0"/>
        <w:topLinePunct w:val="0"/>
        <w:autoSpaceDE/>
        <w:autoSpaceDN/>
        <w:bidi w:val="0"/>
        <w:snapToGrid w:val="0"/>
        <w:spacing w:line="336" w:lineRule="auto"/>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广东宝莱特医用科技股份有限公司、燕金元、许薇：</w:t>
      </w:r>
    </w:p>
    <w:p>
      <w:pPr>
        <w:keepNext w:val="0"/>
        <w:keepLines w:val="0"/>
        <w:pageBreakBefore w:val="0"/>
        <w:widowControl w:val="0"/>
        <w:kinsoku/>
        <w:wordWrap/>
        <w:overflowPunct w:val="0"/>
        <w:topLinePunct w:val="0"/>
        <w:autoSpaceDE/>
        <w:autoSpaceDN/>
        <w:bidi w:val="0"/>
        <w:adjustRightInd/>
        <w:snapToGrid w:val="0"/>
        <w:spacing w:line="336" w:lineRule="auto"/>
        <w:ind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根据《上市公司现场检查规则》（证监会公告〔2022〕21号）等规定，</w:t>
      </w:r>
      <w:r>
        <w:rPr>
          <w:rFonts w:hint="eastAsia" w:ascii="仿宋_GB2312" w:hAnsi="仿宋_GB2312" w:eastAsia="仿宋_GB2312" w:cs="仿宋_GB2312"/>
          <w:sz w:val="32"/>
          <w:szCs w:val="32"/>
          <w:highlight w:val="none"/>
          <w:lang w:val="en-US" w:eastAsia="zh-CN"/>
        </w:rPr>
        <w:t>我局对广东宝莱特医用科技股份有限公司（以下简称宝莱特或公司）进行了现场检查，发现公司存在以下违规问题：</w:t>
      </w:r>
    </w:p>
    <w:p>
      <w:pPr>
        <w:keepNext w:val="0"/>
        <w:keepLines w:val="0"/>
        <w:pageBreakBefore w:val="0"/>
        <w:widowControl w:val="0"/>
        <w:numPr>
          <w:ilvl w:val="0"/>
          <w:numId w:val="0"/>
        </w:numPr>
        <w:kinsoku/>
        <w:wordWrap/>
        <w:overflowPunct w:val="0"/>
        <w:topLinePunct w:val="0"/>
        <w:autoSpaceDE/>
        <w:autoSpaceDN/>
        <w:bidi w:val="0"/>
        <w:adjustRightInd/>
        <w:snapToGrid w:val="0"/>
        <w:spacing w:line="336" w:lineRule="auto"/>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z w:val="32"/>
          <w:szCs w:val="32"/>
          <w:highlight w:val="none"/>
          <w:lang w:eastAsia="zh-CN"/>
        </w:rPr>
        <w:t>一、</w:t>
      </w:r>
      <w:r>
        <w:rPr>
          <w:rFonts w:hint="eastAsia" w:ascii="黑体" w:hAnsi="黑体" w:eastAsia="黑体" w:cs="黑体"/>
          <w:b w:val="0"/>
          <w:bCs w:val="0"/>
          <w:sz w:val="32"/>
          <w:szCs w:val="32"/>
          <w:highlight w:val="none"/>
        </w:rPr>
        <w:t>部分医疗</w:t>
      </w:r>
      <w:r>
        <w:rPr>
          <w:rFonts w:hint="eastAsia" w:ascii="黑体" w:hAnsi="黑体" w:eastAsia="黑体" w:cs="黑体"/>
          <w:b w:val="0"/>
          <w:bCs w:val="0"/>
          <w:sz w:val="32"/>
          <w:szCs w:val="32"/>
          <w:highlight w:val="none"/>
          <w:lang w:eastAsia="zh-CN"/>
        </w:rPr>
        <w:t>器械贸易</w:t>
      </w:r>
      <w:r>
        <w:rPr>
          <w:rFonts w:hint="eastAsia" w:ascii="黑体" w:hAnsi="黑体" w:eastAsia="黑体" w:cs="黑体"/>
          <w:b w:val="0"/>
          <w:bCs w:val="0"/>
          <w:sz w:val="32"/>
          <w:szCs w:val="32"/>
          <w:highlight w:val="none"/>
        </w:rPr>
        <w:t>业务收入</w:t>
      </w:r>
      <w:r>
        <w:rPr>
          <w:rFonts w:hint="eastAsia" w:ascii="黑体" w:hAnsi="黑体" w:eastAsia="黑体" w:cs="黑体"/>
          <w:b w:val="0"/>
          <w:bCs w:val="0"/>
          <w:sz w:val="32"/>
          <w:szCs w:val="32"/>
          <w:highlight w:val="none"/>
          <w:lang w:eastAsia="zh-CN"/>
        </w:rPr>
        <w:t>确认会计处理不准确。</w:t>
      </w:r>
      <w:r>
        <w:rPr>
          <w:rFonts w:hint="eastAsia" w:ascii="仿宋_GB2312" w:hAnsi="仿宋_GB2312" w:eastAsia="仿宋_GB2312" w:cs="仿宋_GB2312"/>
          <w:sz w:val="32"/>
          <w:szCs w:val="32"/>
          <w:highlight w:val="none"/>
          <w:lang w:val="en-US" w:eastAsia="zh-CN"/>
        </w:rPr>
        <w:t>宝莱特未根据相关会计准则规定，按</w:t>
      </w:r>
      <w:r>
        <w:rPr>
          <w:rFonts w:hint="eastAsia" w:ascii="仿宋_GB2312" w:hAnsi="仿宋_GB2312" w:eastAsia="仿宋_GB2312" w:cs="仿宋_GB2312"/>
          <w:sz w:val="32"/>
          <w:szCs w:val="32"/>
          <w:highlight w:val="none"/>
          <w:shd w:val="clear" w:color="auto" w:fill="auto"/>
          <w:lang w:val="en-US" w:eastAsia="zh-CN"/>
        </w:rPr>
        <w:t>业务实质对</w:t>
      </w:r>
      <w:r>
        <w:rPr>
          <w:rFonts w:hint="eastAsia" w:ascii="仿宋_GB2312" w:hAnsi="仿宋_GB2312" w:eastAsia="仿宋_GB2312" w:cs="仿宋_GB2312"/>
          <w:sz w:val="32"/>
          <w:szCs w:val="32"/>
          <w:highlight w:val="none"/>
          <w:lang w:val="en-US" w:eastAsia="zh-CN"/>
        </w:rPr>
        <w:t>子公司深圳市宝原医疗器械有限公司部分</w:t>
      </w:r>
      <w:r>
        <w:rPr>
          <w:rFonts w:hint="eastAsia" w:ascii="仿宋_GB2312" w:hAnsi="仿宋_GB2312" w:eastAsia="仿宋_GB2312" w:cs="仿宋_GB2312"/>
          <w:sz w:val="32"/>
          <w:szCs w:val="32"/>
          <w:highlight w:val="none"/>
          <w:shd w:val="clear" w:color="auto" w:fill="auto"/>
          <w:lang w:val="en-US" w:eastAsia="zh-CN"/>
        </w:rPr>
        <w:t>医疗器械贸易业务采用净额法确认收入，导致公司2022年、2023年分别多计营业收入1,528.66万元、2,876.89万元，分别多计营业成本1,478.14万元、2,750.66万元，其中，多计营业收入金额占公司2022年、2023年营业收入的比例分别为1.29%、2.</w:t>
      </w:r>
      <w:r>
        <w:rPr>
          <w:rFonts w:hint="default" w:ascii="仿宋_GB2312" w:hAnsi="仿宋_GB2312" w:eastAsia="仿宋_GB2312" w:cs="仿宋_GB2312"/>
          <w:sz w:val="32"/>
          <w:szCs w:val="32"/>
          <w:highlight w:val="none"/>
          <w:shd w:val="clear" w:color="auto" w:fill="auto"/>
          <w:lang w:val="en-US" w:eastAsia="zh-CN"/>
        </w:rPr>
        <w:t>41</w:t>
      </w:r>
      <w:r>
        <w:rPr>
          <w:rFonts w:hint="eastAsia" w:ascii="仿宋_GB2312" w:hAnsi="仿宋_GB2312" w:eastAsia="仿宋_GB2312" w:cs="仿宋_GB2312"/>
          <w:sz w:val="32"/>
          <w:szCs w:val="32"/>
          <w:highlight w:val="none"/>
          <w:shd w:val="clear" w:color="auto" w:fill="auto"/>
          <w:lang w:val="en-US" w:eastAsia="zh-CN"/>
        </w:rPr>
        <w:t>%。上述行为不符合《上市公司信息披露管理办法》（证监会令第182号，下同）第三条第一款、《企业会计准则第14号——收入》（财会〔2017〕22号）第三十四条第一款的规定</w:t>
      </w:r>
      <w:r>
        <w:rPr>
          <w:rFonts w:hint="eastAsia" w:ascii="仿宋_GB2312" w:hAnsi="仿宋_GB2312" w:eastAsia="仿宋_GB2312" w:cs="仿宋_GB2312"/>
          <w:sz w:val="32"/>
          <w:szCs w:val="32"/>
          <w:highlight w:val="none"/>
          <w:lang w:val="en-US" w:eastAsia="zh-CN"/>
        </w:rPr>
        <w:t>。</w:t>
      </w:r>
    </w:p>
    <w:p>
      <w:pPr>
        <w:pStyle w:val="8"/>
        <w:keepNext w:val="0"/>
        <w:keepLines w:val="0"/>
        <w:pageBreakBefore w:val="0"/>
        <w:widowControl w:val="0"/>
        <w:kinsoku/>
        <w:wordWrap/>
        <w:overflowPunct w:val="0"/>
        <w:topLinePunct w:val="0"/>
        <w:autoSpaceDE/>
        <w:autoSpaceDN/>
        <w:bidi w:val="0"/>
        <w:adjustRightInd w:val="0"/>
        <w:snapToGrid w:val="0"/>
        <w:spacing w:line="336" w:lineRule="auto"/>
        <w:ind w:firstLine="640"/>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二、部分销售退回未及时冲减收入。</w:t>
      </w:r>
      <w:r>
        <w:rPr>
          <w:rFonts w:hint="eastAsia" w:ascii="仿宋_GB2312" w:hAnsi="仿宋_GB2312" w:eastAsia="仿宋_GB2312" w:cs="仿宋_GB2312"/>
          <w:kern w:val="2"/>
          <w:sz w:val="32"/>
          <w:szCs w:val="32"/>
          <w:highlight w:val="none"/>
          <w:lang w:val="en-US" w:eastAsia="zh-CN" w:bidi="ar-SA"/>
        </w:rPr>
        <w:t>宝莱特2022年存在部分销售退回未及时冲减收入，财务信息披露不准确的问题，导致公司2022年多计收入186万元，不符合</w:t>
      </w:r>
      <w:r>
        <w:rPr>
          <w:rFonts w:hint="eastAsia" w:ascii="仿宋_GB2312" w:hAnsi="仿宋_GB2312" w:eastAsia="仿宋_GB2312" w:cs="仿宋_GB2312"/>
          <w:sz w:val="32"/>
          <w:szCs w:val="32"/>
          <w:highlight w:val="none"/>
          <w:shd w:val="clear" w:color="auto" w:fill="auto"/>
          <w:lang w:val="en-US" w:eastAsia="zh-CN"/>
        </w:rPr>
        <w:t>《上市公司信息披露管理办法》第三条第一款、</w:t>
      </w:r>
      <w:r>
        <w:rPr>
          <w:rFonts w:hint="eastAsia" w:ascii="仿宋_GB2312" w:hAnsi="仿宋_GB2312" w:eastAsia="仿宋_GB2312" w:cs="仿宋_GB2312"/>
          <w:kern w:val="2"/>
          <w:sz w:val="32"/>
          <w:szCs w:val="32"/>
          <w:highlight w:val="none"/>
          <w:lang w:val="en-US" w:eastAsia="zh-CN" w:bidi="ar-SA"/>
        </w:rPr>
        <w:t>《企业会计准则——基本准则》（财政部令第76号）第十九条的规定。</w:t>
      </w:r>
    </w:p>
    <w:p>
      <w:pPr>
        <w:pStyle w:val="8"/>
        <w:keepNext w:val="0"/>
        <w:keepLines w:val="0"/>
        <w:pageBreakBefore w:val="0"/>
        <w:widowControl w:val="0"/>
        <w:kinsoku/>
        <w:wordWrap/>
        <w:overflowPunct w:val="0"/>
        <w:topLinePunct w:val="0"/>
        <w:autoSpaceDE/>
        <w:autoSpaceDN/>
        <w:bidi w:val="0"/>
        <w:adjustRightInd w:val="0"/>
        <w:snapToGrid w:val="0"/>
        <w:spacing w:line="336" w:lineRule="auto"/>
        <w:ind w:firstLine="681" w:firstLineChars="213"/>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三、个别</w:t>
      </w:r>
      <w:r>
        <w:rPr>
          <w:rFonts w:hint="eastAsia" w:ascii="黑体" w:hAnsi="黑体" w:eastAsia="黑体" w:cs="黑体"/>
          <w:sz w:val="32"/>
          <w:szCs w:val="32"/>
          <w:highlight w:val="none"/>
          <w:lang w:val="en-US" w:eastAsia="zh-CN"/>
        </w:rPr>
        <w:t>在建工程未及时转入固定资产并计提折旧</w:t>
      </w:r>
      <w:r>
        <w:rPr>
          <w:rFonts w:hint="eastAsia" w:ascii="黑体" w:hAnsi="黑体" w:eastAsia="黑体" w:cs="黑体"/>
          <w:b/>
          <w:bCs/>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宝莱特个别在建工程项目于2023年6月验收，但迟至2023年9月才转入固定资产并计提折旧，公司未及时根据验收报告将在建工程转入固定资产，导致公司2023年半年报少列固定资产原值564.15万元、</w:t>
      </w:r>
      <w:r>
        <w:rPr>
          <w:rFonts w:hint="default"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lang w:val="en-US" w:eastAsia="zh-CN"/>
        </w:rPr>
        <w:t>年年报少计提折旧25.39万元，不符合</w:t>
      </w:r>
      <w:r>
        <w:rPr>
          <w:rFonts w:hint="eastAsia" w:ascii="仿宋_GB2312" w:hAnsi="仿宋_GB2312" w:eastAsia="仿宋_GB2312" w:cs="仿宋_GB2312"/>
          <w:sz w:val="32"/>
          <w:szCs w:val="32"/>
          <w:highlight w:val="none"/>
          <w:shd w:val="clear" w:color="auto" w:fill="auto"/>
          <w:lang w:val="en-US" w:eastAsia="zh-CN"/>
        </w:rPr>
        <w:t>《上市公司信息披露管理办法》第三条第一款、</w:t>
      </w:r>
      <w:r>
        <w:rPr>
          <w:rFonts w:hint="eastAsia" w:ascii="仿宋_GB2312" w:hAnsi="仿宋_GB2312" w:eastAsia="仿宋_GB2312" w:cs="仿宋_GB2312"/>
          <w:sz w:val="32"/>
          <w:szCs w:val="32"/>
          <w:highlight w:val="none"/>
          <w:lang w:val="en-US" w:eastAsia="zh-CN"/>
        </w:rPr>
        <w:t>《企业会计准则第4号——固定资产》（财会〔2006〕3号）第四条的规定。</w:t>
      </w:r>
    </w:p>
    <w:p>
      <w:pPr>
        <w:keepNext w:val="0"/>
        <w:keepLines w:val="0"/>
        <w:pageBreakBefore w:val="0"/>
        <w:widowControl w:val="0"/>
        <w:numPr>
          <w:ilvl w:val="0"/>
          <w:numId w:val="0"/>
        </w:numPr>
        <w:kinsoku/>
        <w:wordWrap/>
        <w:overflowPunct w:val="0"/>
        <w:topLinePunct w:val="0"/>
        <w:autoSpaceDE/>
        <w:autoSpaceDN/>
        <w:bidi w:val="0"/>
        <w:adjustRightInd/>
        <w:snapToGrid w:val="0"/>
        <w:spacing w:line="336" w:lineRule="auto"/>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四、对部分子公司商誉减值测试时指标预测缺乏合理依据。</w:t>
      </w:r>
      <w:r>
        <w:rPr>
          <w:rFonts w:hint="eastAsia" w:ascii="仿宋_GB2312" w:hAnsi="仿宋_GB2312" w:eastAsia="仿宋_GB2312" w:cs="仿宋_GB2312"/>
          <w:sz w:val="32"/>
          <w:szCs w:val="32"/>
          <w:highlight w:val="none"/>
          <w:lang w:val="en-US" w:eastAsia="zh-CN"/>
        </w:rPr>
        <w:t>宝莱特</w:t>
      </w:r>
      <w:r>
        <w:rPr>
          <w:rFonts w:hint="eastAsia" w:ascii="仿宋_GB2312" w:hAnsi="仿宋_GB2312" w:eastAsia="仿宋_GB2312" w:cs="仿宋_GB2312"/>
          <w:b w:val="0"/>
          <w:bCs w:val="0"/>
          <w:kern w:val="2"/>
          <w:sz w:val="32"/>
          <w:szCs w:val="32"/>
          <w:highlight w:val="none"/>
          <w:lang w:val="en-US" w:eastAsia="zh-CN" w:bidi="ar-SA"/>
        </w:rPr>
        <w:t>2022年度对</w:t>
      </w:r>
      <w:r>
        <w:rPr>
          <w:rFonts w:hint="eastAsia" w:ascii="仿宋_GB2312" w:hAnsi="仿宋_GB2312" w:eastAsia="仿宋_GB2312" w:cs="仿宋_GB2312"/>
          <w:kern w:val="2"/>
          <w:sz w:val="32"/>
          <w:szCs w:val="32"/>
          <w:highlight w:val="none"/>
          <w:lang w:val="en-US" w:eastAsia="zh-CN" w:bidi="ar-SA"/>
        </w:rPr>
        <w:t>子公司武汉启诚生物技术有限公司（以下简称武汉启诚）进行减值测试时，</w:t>
      </w:r>
      <w:r>
        <w:rPr>
          <w:rFonts w:hint="eastAsia" w:ascii="仿宋_GB2312" w:hAnsi="仿宋_GB2312" w:eastAsia="仿宋_GB2312" w:cs="仿宋_GB2312"/>
          <w:b/>
          <w:bCs/>
          <w:kern w:val="2"/>
          <w:sz w:val="32"/>
          <w:szCs w:val="32"/>
          <w:highlight w:val="none"/>
          <w:lang w:val="en-US" w:eastAsia="zh-CN" w:bidi="ar-SA"/>
        </w:rPr>
        <w:t>一是</w:t>
      </w:r>
      <w:r>
        <w:rPr>
          <w:rFonts w:hint="eastAsia" w:ascii="仿宋_GB2312" w:hAnsi="仿宋_GB2312" w:eastAsia="仿宋_GB2312" w:cs="仿宋_GB2312"/>
          <w:kern w:val="2"/>
          <w:sz w:val="32"/>
          <w:szCs w:val="32"/>
          <w:highlight w:val="none"/>
          <w:lang w:val="en-US" w:eastAsia="zh-CN" w:bidi="ar-SA"/>
        </w:rPr>
        <w:t>基期2022年的营业收入、营业成本、销售费用等相关数据均为未审数;</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kern w:val="2"/>
          <w:sz w:val="32"/>
          <w:szCs w:val="32"/>
          <w:highlight w:val="none"/>
          <w:lang w:val="en-US" w:eastAsia="zh-CN" w:bidi="ar-SA"/>
        </w:rPr>
        <w:t>预测期毛利率、销售差旅费率、销售工资费率及管理研发费率与对应指标历史期间变动趋势存在差异，但缺乏充分、合理依据。</w:t>
      </w:r>
      <w:r>
        <w:rPr>
          <w:rFonts w:hint="eastAsia" w:ascii="仿宋_GB2312" w:hAnsi="仿宋_GB2312" w:eastAsia="仿宋_GB2312" w:cs="仿宋_GB2312"/>
          <w:sz w:val="32"/>
          <w:szCs w:val="32"/>
          <w:highlight w:val="none"/>
          <w:lang w:val="en-US" w:eastAsia="zh-CN"/>
        </w:rPr>
        <w:t>宝莱特</w:t>
      </w:r>
      <w:r>
        <w:rPr>
          <w:rFonts w:hint="eastAsia" w:ascii="仿宋_GB2312" w:hAnsi="仿宋_GB2312" w:eastAsia="仿宋_GB2312" w:cs="仿宋_GB2312"/>
          <w:kern w:val="2"/>
          <w:sz w:val="32"/>
          <w:szCs w:val="32"/>
          <w:highlight w:val="none"/>
          <w:lang w:val="en-US" w:eastAsia="zh-CN" w:bidi="ar-SA"/>
        </w:rPr>
        <w:t>2022年度对子公司武汉柯瑞迪医疗用品有限公司（以下简称柯瑞迪）进行减值测试时，</w:t>
      </w:r>
      <w:r>
        <w:rPr>
          <w:rFonts w:hint="eastAsia" w:ascii="仿宋_GB2312" w:hAnsi="仿宋_GB2312" w:eastAsia="仿宋_GB2312" w:cs="仿宋_GB2312"/>
          <w:b/>
          <w:bCs/>
          <w:kern w:val="2"/>
          <w:sz w:val="32"/>
          <w:szCs w:val="32"/>
          <w:highlight w:val="none"/>
          <w:lang w:val="en-US" w:eastAsia="zh-CN" w:bidi="ar-SA"/>
        </w:rPr>
        <w:t>一是</w:t>
      </w:r>
      <w:r>
        <w:rPr>
          <w:rFonts w:hint="eastAsia" w:ascii="仿宋_GB2312" w:hAnsi="仿宋_GB2312" w:eastAsia="仿宋_GB2312" w:cs="仿宋_GB2312"/>
          <w:kern w:val="2"/>
          <w:sz w:val="32"/>
          <w:szCs w:val="32"/>
          <w:highlight w:val="none"/>
          <w:lang w:val="en-US" w:eastAsia="zh-CN" w:bidi="ar-SA"/>
        </w:rPr>
        <w:t>基期2022年的销售费用、管理费用均为未审数;</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kern w:val="2"/>
          <w:sz w:val="32"/>
          <w:szCs w:val="32"/>
          <w:highlight w:val="none"/>
          <w:lang w:val="en-US" w:eastAsia="zh-CN" w:bidi="ar-SA"/>
        </w:rPr>
        <w:t>预测期毛利率、销售运输费率与对应指标历史期间变动趋势存在差异，但缺乏充分、合理依据。</w:t>
      </w:r>
      <w:r>
        <w:rPr>
          <w:rFonts w:hint="eastAsia" w:ascii="仿宋_GB2312" w:hAnsi="仿宋_GB2312" w:eastAsia="仿宋_GB2312" w:cs="仿宋_GB2312"/>
          <w:b w:val="0"/>
          <w:bCs w:val="0"/>
          <w:kern w:val="2"/>
          <w:sz w:val="32"/>
          <w:szCs w:val="32"/>
          <w:highlight w:val="none"/>
          <w:lang w:val="en-US" w:eastAsia="zh-CN" w:bidi="ar-SA"/>
        </w:rPr>
        <w:t>上述行为不符合</w:t>
      </w:r>
      <w:r>
        <w:rPr>
          <w:rFonts w:hint="eastAsia" w:ascii="仿宋_GB2312" w:hAnsi="仿宋_GB2312" w:eastAsia="仿宋_GB2312" w:cs="仿宋_GB2312"/>
          <w:sz w:val="32"/>
          <w:szCs w:val="32"/>
          <w:highlight w:val="none"/>
          <w:shd w:val="clear" w:color="auto" w:fill="auto"/>
          <w:lang w:val="en-US" w:eastAsia="zh-CN"/>
        </w:rPr>
        <w:t>《上市公司信息披露管理办法》第三条第一款、</w:t>
      </w:r>
      <w:r>
        <w:rPr>
          <w:rFonts w:hint="eastAsia" w:ascii="仿宋_GB2312" w:hAnsi="仿宋_GB2312" w:eastAsia="仿宋_GB2312" w:cs="仿宋_GB2312"/>
          <w:b w:val="0"/>
          <w:bCs w:val="0"/>
          <w:kern w:val="2"/>
          <w:sz w:val="32"/>
          <w:szCs w:val="32"/>
          <w:highlight w:val="none"/>
          <w:lang w:val="en-US" w:eastAsia="zh-CN" w:bidi="ar-SA"/>
        </w:rPr>
        <w:t>《企业会计准则第8号——资产减值》</w:t>
      </w:r>
      <w:r>
        <w:rPr>
          <w:rFonts w:hint="eastAsia" w:ascii="仿宋_GB2312" w:hAnsi="仿宋_GB2312" w:eastAsia="仿宋_GB2312" w:cs="仿宋_GB2312"/>
          <w:sz w:val="32"/>
          <w:szCs w:val="32"/>
          <w:highlight w:val="none"/>
        </w:rPr>
        <w:t>（财会〔20</w:t>
      </w:r>
      <w:r>
        <w:rPr>
          <w:rFonts w:hint="eastAsia" w:ascii="仿宋_GB2312" w:hAnsi="仿宋_GB2312" w:eastAsia="仿宋_GB2312" w:cs="仿宋_GB2312"/>
          <w:sz w:val="32"/>
          <w:szCs w:val="32"/>
          <w:highlight w:val="none"/>
          <w:lang w:val="en-US" w:eastAsia="zh-CN"/>
        </w:rPr>
        <w:t>06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号）第十一条</w:t>
      </w:r>
      <w:r>
        <w:rPr>
          <w:rFonts w:hint="eastAsia" w:ascii="仿宋_GB2312" w:hAnsi="仿宋_GB2312" w:eastAsia="仿宋_GB2312" w:cs="仿宋_GB2312"/>
          <w:sz w:val="32"/>
          <w:szCs w:val="32"/>
          <w:highlight w:val="none"/>
          <w:lang w:eastAsia="zh-CN"/>
        </w:rPr>
        <w:t>第一款</w:t>
      </w:r>
      <w:r>
        <w:rPr>
          <w:rFonts w:hint="eastAsia" w:ascii="仿宋_GB2312" w:hAnsi="仿宋_GB2312" w:eastAsia="仿宋_GB2312" w:cs="仿宋_GB2312"/>
          <w:sz w:val="32"/>
          <w:szCs w:val="32"/>
          <w:highlight w:val="none"/>
        </w:rPr>
        <w:t>、第十二条</w:t>
      </w:r>
      <w:r>
        <w:rPr>
          <w:rFonts w:hint="eastAsia" w:ascii="仿宋_GB2312" w:hAnsi="仿宋_GB2312" w:eastAsia="仿宋_GB2312" w:cs="仿宋_GB2312"/>
          <w:sz w:val="32"/>
          <w:szCs w:val="32"/>
          <w:highlight w:val="none"/>
          <w:lang w:eastAsia="zh-CN"/>
        </w:rPr>
        <w:t>第一款</w:t>
      </w:r>
      <w:r>
        <w:rPr>
          <w:rFonts w:hint="eastAsia" w:ascii="仿宋_GB2312" w:hAnsi="仿宋_GB2312" w:eastAsia="仿宋_GB2312" w:cs="仿宋_GB2312"/>
          <w:b w:val="0"/>
          <w:bCs w:val="0"/>
          <w:kern w:val="2"/>
          <w:sz w:val="32"/>
          <w:szCs w:val="32"/>
          <w:highlight w:val="none"/>
          <w:lang w:val="en-US" w:eastAsia="zh-CN" w:bidi="ar-SA"/>
        </w:rPr>
        <w:t>的规定。</w:t>
      </w:r>
    </w:p>
    <w:p>
      <w:pPr>
        <w:pStyle w:val="2"/>
        <w:keepNext w:val="0"/>
        <w:keepLines w:val="0"/>
        <w:pageBreakBefore w:val="0"/>
        <w:widowControl w:val="0"/>
        <w:kinsoku/>
        <w:wordWrap/>
        <w:overflowPunct w:val="0"/>
        <w:topLinePunct w:val="0"/>
        <w:autoSpaceDE/>
        <w:autoSpaceDN/>
        <w:bidi w:val="0"/>
        <w:adjustRightInd w:val="0"/>
        <w:snapToGrid w:val="0"/>
        <w:spacing w:line="336" w:lineRule="auto"/>
        <w:ind w:firstLine="0" w:firstLineChars="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黑体" w:hAnsi="黑体" w:eastAsia="黑体" w:cs="黑体"/>
          <w:b w:val="0"/>
          <w:bCs w:val="0"/>
          <w:sz w:val="32"/>
          <w:szCs w:val="32"/>
          <w:highlight w:val="none"/>
          <w:lang w:val="en-US" w:eastAsia="zh-CN"/>
        </w:rPr>
        <w:t xml:space="preserve">    五、公司内部控制不规范。</w:t>
      </w:r>
      <w:r>
        <w:rPr>
          <w:rFonts w:hint="eastAsia" w:ascii="仿宋_GB2312" w:hAnsi="仿宋_GB2312" w:eastAsia="仿宋_GB2312" w:cs="仿宋_GB2312"/>
          <w:b/>
          <w:bCs/>
          <w:kern w:val="2"/>
          <w:sz w:val="32"/>
          <w:szCs w:val="32"/>
          <w:highlight w:val="none"/>
          <w:lang w:val="en-US" w:eastAsia="zh-CN" w:bidi="ar-SA"/>
        </w:rPr>
        <w:t>一是</w:t>
      </w:r>
      <w:r>
        <w:rPr>
          <w:rFonts w:hint="eastAsia" w:ascii="仿宋_GB2312" w:hAnsi="仿宋_GB2312" w:eastAsia="仿宋_GB2312" w:cs="仿宋_GB2312"/>
          <w:kern w:val="2"/>
          <w:sz w:val="32"/>
          <w:szCs w:val="32"/>
          <w:highlight w:val="none"/>
          <w:lang w:val="en-US" w:eastAsia="zh-CN" w:bidi="ar-SA"/>
        </w:rPr>
        <w:t>公司个别子公司存在医疗器械销售业务单据不完整、系统录入数据有误、采购合同与业务单据采购日期矛盾等问题。</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b w:val="0"/>
          <w:bCs w:val="0"/>
          <w:kern w:val="2"/>
          <w:sz w:val="32"/>
          <w:szCs w:val="32"/>
          <w:highlight w:val="none"/>
          <w:lang w:val="en-US" w:eastAsia="zh-CN" w:bidi="ar-SA"/>
        </w:rPr>
        <w:t>公司披露原</w:t>
      </w:r>
      <w:r>
        <w:rPr>
          <w:rFonts w:hint="eastAsia" w:ascii="仿宋_GB2312" w:hAnsi="仿宋_GB2312" w:eastAsia="仿宋_GB2312" w:cs="仿宋_GB2312"/>
          <w:kern w:val="2"/>
          <w:sz w:val="32"/>
          <w:szCs w:val="32"/>
          <w:highlight w:val="none"/>
          <w:lang w:val="en-US" w:eastAsia="zh-CN" w:bidi="ar-SA"/>
        </w:rPr>
        <w:t>财务负责人燕传平已离任，但燕传平仍然负责公司的日常报销事务审批。</w:t>
      </w:r>
      <w:r>
        <w:rPr>
          <w:rFonts w:hint="eastAsia" w:ascii="仿宋_GB2312" w:hAnsi="仿宋_GB2312" w:eastAsia="仿宋_GB2312" w:cs="仿宋_GB2312"/>
          <w:b/>
          <w:bCs/>
          <w:kern w:val="2"/>
          <w:sz w:val="32"/>
          <w:szCs w:val="32"/>
          <w:highlight w:val="none"/>
          <w:lang w:val="en-US" w:eastAsia="zh-CN" w:bidi="ar-SA"/>
        </w:rPr>
        <w:t>三是</w:t>
      </w:r>
      <w:r>
        <w:rPr>
          <w:rFonts w:hint="eastAsia" w:ascii="仿宋_GB2312" w:hAnsi="仿宋_GB2312" w:eastAsia="仿宋_GB2312" w:cs="仿宋_GB2312"/>
          <w:kern w:val="2"/>
          <w:sz w:val="32"/>
          <w:szCs w:val="32"/>
          <w:highlight w:val="none"/>
          <w:lang w:val="en-US" w:eastAsia="zh-CN" w:bidi="ar-SA"/>
        </w:rPr>
        <w:t>公司控股股东、实际控制人控制的</w:t>
      </w:r>
      <w:r>
        <w:rPr>
          <w:rFonts w:hint="eastAsia" w:ascii="仿宋_GB2312" w:hAnsi="仿宋_GB2312" w:eastAsia="仿宋_GB2312" w:cs="仿宋_GB2312"/>
          <w:sz w:val="32"/>
          <w:szCs w:val="32"/>
          <w:highlight w:val="none"/>
        </w:rPr>
        <w:t>珠海市宝莱特厚德莱福医疗投资有限公司</w:t>
      </w:r>
      <w:r>
        <w:rPr>
          <w:rFonts w:hint="eastAsia" w:ascii="仿宋_GB2312" w:hAnsi="仿宋_GB2312" w:eastAsia="仿宋_GB2312" w:cs="仿宋_GB2312"/>
          <w:kern w:val="2"/>
          <w:sz w:val="32"/>
          <w:szCs w:val="32"/>
          <w:highlight w:val="none"/>
          <w:lang w:val="en-US" w:eastAsia="zh-CN" w:bidi="ar-SA"/>
        </w:rPr>
        <w:t>与上市公司存在人员共用的情形，独立性欠缺。公司2022年度、2023年度披露的内部控制自我评价报告存在不准确的情况。上述行为</w:t>
      </w:r>
      <w:r>
        <w:rPr>
          <w:rFonts w:hint="eastAsia" w:ascii="仿宋_GB2312" w:hAnsi="仿宋_GB2312" w:eastAsia="仿宋_GB2312" w:cs="仿宋_GB2312"/>
          <w:strike w:val="0"/>
          <w:dstrike w:val="0"/>
          <w:sz w:val="32"/>
          <w:szCs w:val="32"/>
          <w:highlight w:val="none"/>
          <w:lang w:val="en-US" w:eastAsia="zh-CN"/>
        </w:rPr>
        <w:t>不符合《上市公司信息披露管理办法》第三条第一款、</w:t>
      </w:r>
      <w:r>
        <w:rPr>
          <w:rFonts w:hint="eastAsia" w:ascii="仿宋_GB2312" w:hAnsi="仿宋_GB2312" w:eastAsia="仿宋_GB2312" w:cs="仿宋_GB2312"/>
          <w:sz w:val="32"/>
          <w:szCs w:val="32"/>
          <w:highlight w:val="none"/>
          <w:lang w:val="en-US" w:eastAsia="zh-CN"/>
        </w:rPr>
        <w:t>《上市公司治理准则》（证监会公告[2018]29号）</w:t>
      </w:r>
      <w:r>
        <w:rPr>
          <w:rFonts w:hint="eastAsia" w:ascii="仿宋_GB2312" w:eastAsia="仿宋_GB2312" w:cs="仿宋_GB2312"/>
          <w:color w:val="auto"/>
          <w:kern w:val="2"/>
          <w:sz w:val="32"/>
          <w:szCs w:val="32"/>
          <w:highlight w:val="none"/>
          <w:lang w:val="en-US" w:eastAsia="zh-CN" w:bidi="ar"/>
        </w:rPr>
        <w:t>第六十八条、</w:t>
      </w:r>
      <w:r>
        <w:rPr>
          <w:rFonts w:hint="eastAsia" w:ascii="仿宋_GB2312" w:hAnsi="仿宋_GB2312" w:eastAsia="仿宋_GB2312" w:cs="仿宋_GB2312"/>
          <w:strike w:val="0"/>
          <w:dstrike w:val="0"/>
          <w:sz w:val="32"/>
          <w:szCs w:val="32"/>
          <w:highlight w:val="none"/>
          <w:lang w:val="en-US" w:eastAsia="zh-CN"/>
        </w:rPr>
        <w:t>《企业内部控制基本规范》（财会</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trike w:val="0"/>
          <w:dstrike w:val="0"/>
          <w:sz w:val="32"/>
          <w:szCs w:val="32"/>
          <w:highlight w:val="none"/>
          <w:lang w:val="en-US" w:eastAsia="zh-CN"/>
        </w:rPr>
        <w:t>2008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trike w:val="0"/>
          <w:dstrike w:val="0"/>
          <w:sz w:val="32"/>
          <w:szCs w:val="32"/>
          <w:highlight w:val="none"/>
          <w:lang w:val="en-US" w:eastAsia="zh-CN"/>
        </w:rPr>
        <w:t>7号）第三十条第一款和第三款、第三十六条，《企业内部控制应用指引第1号——组织架构》（财会〔2010〕11号）第十条</w:t>
      </w:r>
      <w:r>
        <w:rPr>
          <w:rFonts w:hint="eastAsia" w:ascii="仿宋_GB2312" w:eastAsia="仿宋_GB2312" w:cs="仿宋_GB2312"/>
          <w:color w:val="auto"/>
          <w:kern w:val="2"/>
          <w:sz w:val="32"/>
          <w:szCs w:val="32"/>
          <w:highlight w:val="none"/>
          <w:lang w:val="en-US" w:eastAsia="zh-CN" w:bidi="ar"/>
        </w:rPr>
        <w:t>的</w:t>
      </w:r>
      <w:r>
        <w:rPr>
          <w:rFonts w:hint="eastAsia" w:ascii="仿宋_GB2312" w:hAnsi="仿宋_GB2312" w:eastAsia="仿宋_GB2312" w:cs="仿宋_GB2312"/>
          <w:sz w:val="32"/>
          <w:szCs w:val="32"/>
          <w:highlight w:val="none"/>
          <w:lang w:val="en-US" w:eastAsia="zh-CN"/>
        </w:rPr>
        <w:t>规定</w:t>
      </w:r>
      <w:r>
        <w:rPr>
          <w:rFonts w:hint="eastAsia" w:ascii="仿宋_GB2312" w:hAnsi="仿宋_GB2312" w:eastAsia="仿宋_GB2312" w:cs="仿宋_GB2312"/>
          <w:strike w:val="0"/>
          <w:dstrike w:val="0"/>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燕金元作为公司董事长、总经理，许薇作为财务总监，未按照《上市公司信息披露管理办法》</w:t>
      </w:r>
      <w:r>
        <w:rPr>
          <w:rFonts w:hint="eastAsia" w:ascii="仿宋_GB2312" w:hAnsi="仿宋_GB2312" w:eastAsia="仿宋_GB2312" w:cs="仿宋_GB2312"/>
          <w:kern w:val="2"/>
          <w:sz w:val="32"/>
          <w:szCs w:val="32"/>
          <w:highlight w:val="none"/>
          <w:lang w:val="en-US" w:eastAsia="zh-CN"/>
        </w:rPr>
        <w:t>第四条、</w:t>
      </w:r>
      <w:r>
        <w:rPr>
          <w:rFonts w:hint="eastAsia" w:ascii="仿宋_GB2312" w:hAnsi="仿宋_GB2312" w:eastAsia="仿宋_GB2312" w:cs="仿宋_GB2312"/>
          <w:strike w:val="0"/>
          <w:dstrike w:val="0"/>
          <w:sz w:val="32"/>
          <w:szCs w:val="32"/>
          <w:highlight w:val="none"/>
          <w:lang w:val="en-US" w:eastAsia="zh-CN"/>
        </w:rPr>
        <w:t>《上市公司治理准则》</w:t>
      </w:r>
      <w:r>
        <w:rPr>
          <w:rFonts w:hint="eastAsia" w:ascii="仿宋_GB2312" w:hAnsi="仿宋_GB2312" w:eastAsia="仿宋_GB2312" w:cs="仿宋_GB2312"/>
          <w:sz w:val="32"/>
          <w:szCs w:val="32"/>
          <w:highlight w:val="none"/>
          <w:lang w:val="en-US" w:eastAsia="zh-CN"/>
        </w:rPr>
        <w:t>（证监会公告[2018]29号）</w:t>
      </w:r>
      <w:r>
        <w:rPr>
          <w:rFonts w:hint="eastAsia" w:ascii="仿宋_GB2312" w:hAnsi="仿宋_GB2312" w:eastAsia="仿宋_GB2312" w:cs="仿宋_GB2312"/>
          <w:kern w:val="2"/>
          <w:sz w:val="32"/>
          <w:szCs w:val="32"/>
          <w:highlight w:val="none"/>
          <w:lang w:val="en-US" w:eastAsia="zh-CN" w:bidi="ar-SA"/>
        </w:rPr>
        <w:t>第四条的规定履行勤勉尽责义务，</w:t>
      </w:r>
      <w:r>
        <w:rPr>
          <w:rFonts w:hint="eastAsia" w:ascii="仿宋_GB2312" w:hAnsi="仿宋_GB2312" w:eastAsia="仿宋_GB2312" w:cs="仿宋_GB2312"/>
          <w:sz w:val="32"/>
          <w:szCs w:val="32"/>
          <w:highlight w:val="none"/>
          <w:lang w:val="en-US" w:eastAsia="zh-CN"/>
        </w:rPr>
        <w:t>对公司上述违规行为分别负有主要责任,其中</w:t>
      </w:r>
      <w:r>
        <w:rPr>
          <w:rFonts w:hint="eastAsia" w:ascii="仿宋_GB2312" w:hAnsi="仿宋_GB2312" w:eastAsia="仿宋_GB2312" w:cs="仿宋_GB2312"/>
          <w:kern w:val="2"/>
          <w:sz w:val="32"/>
          <w:szCs w:val="32"/>
          <w:highlight w:val="none"/>
          <w:lang w:val="en-US" w:eastAsia="zh-CN" w:bidi="ar-SA"/>
        </w:rPr>
        <w:t>燕金元对上述所有违规行为负有主要责任，许薇</w:t>
      </w:r>
      <w:r>
        <w:rPr>
          <w:rFonts w:hint="eastAsia" w:ascii="仿宋_GB2312" w:hAnsi="仿宋_GB2312" w:eastAsia="仿宋_GB2312" w:cs="仿宋_GB2312"/>
          <w:sz w:val="32"/>
          <w:szCs w:val="32"/>
          <w:highlight w:val="none"/>
          <w:lang w:val="en-US" w:eastAsia="zh-CN"/>
        </w:rPr>
        <w:t>对上述第一、二、三、四条违规行为负有主要责任。</w:t>
      </w:r>
    </w:p>
    <w:p>
      <w:pPr>
        <w:keepNext w:val="0"/>
        <w:keepLines w:val="0"/>
        <w:pageBreakBefore w:val="0"/>
        <w:widowControl w:val="0"/>
        <w:numPr>
          <w:ilvl w:val="0"/>
          <w:numId w:val="0"/>
        </w:numPr>
        <w:kinsoku/>
        <w:wordWrap/>
        <w:overflowPunct w:val="0"/>
        <w:topLinePunct w:val="0"/>
        <w:autoSpaceDE/>
        <w:autoSpaceDN/>
        <w:bidi w:val="0"/>
        <w:adjustRightInd/>
        <w:snapToGrid w:val="0"/>
        <w:spacing w:line="336"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根据《上市公司信息披露管理办法》第五十二条的规定，我局决定对宝莱特、燕金元、许薇采取出具警示函的行政监管措施。你们应认真吸取教训，切实提升依法合规履职意识，加强对证券法律法规的学习，杜绝此类问题再次发生。同时公司应对相关责任人员进行内部问责，于收到本决定书30日内向我局报送整改报告，并抄报深圳证券交易所。</w:t>
      </w:r>
    </w:p>
    <w:p>
      <w:pPr>
        <w:keepNext w:val="0"/>
        <w:keepLines w:val="0"/>
        <w:pageBreakBefore w:val="0"/>
        <w:widowControl w:val="0"/>
        <w:numPr>
          <w:ilvl w:val="0"/>
          <w:numId w:val="0"/>
        </w:numPr>
        <w:kinsoku/>
        <w:wordWrap/>
        <w:overflowPunct w:val="0"/>
        <w:topLinePunct w:val="0"/>
        <w:autoSpaceDE/>
        <w:autoSpaceDN/>
        <w:bidi w:val="0"/>
        <w:adjustRightInd/>
        <w:snapToGrid w:val="0"/>
        <w:spacing w:line="336" w:lineRule="auto"/>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如对本监管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pPr>
        <w:pStyle w:val="9"/>
        <w:widowControl w:val="0"/>
        <w:overflowPunct w:val="0"/>
        <w:snapToGrid w:val="0"/>
        <w:spacing w:line="360" w:lineRule="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024</w:t>
      </w:r>
      <w:r>
        <w:rPr>
          <w:rFonts w:hint="eastAsia" w:ascii="仿宋_GB2312" w:hAnsi="Times New Roman" w:eastAsia="仿宋_GB2312" w:cs="Times New Roman"/>
          <w:color w:val="000000"/>
          <w:spacing w:val="10"/>
          <w:sz w:val="32"/>
          <w:szCs w:val="32"/>
        </w:rPr>
        <w:t>年</w:t>
      </w:r>
      <w:r>
        <w:rPr>
          <w:rFonts w:hint="default" w:ascii="仿宋_GB2312" w:eastAsia="仿宋_GB2312" w:cs="Times New Roman"/>
          <w:color w:val="000000"/>
          <w:spacing w:val="10"/>
          <w:sz w:val="32"/>
          <w:szCs w:val="32"/>
          <w:lang w:val="en-US" w:eastAsia="zh-CN"/>
        </w:rPr>
        <w:t>10</w:t>
      </w:r>
      <w:r>
        <w:rPr>
          <w:rFonts w:hint="eastAsia" w:ascii="仿宋_GB2312" w:hAnsi="Times New Roman" w:eastAsia="仿宋_GB2312" w:cs="Times New Roman"/>
          <w:color w:val="000000"/>
          <w:spacing w:val="10"/>
          <w:sz w:val="32"/>
          <w:szCs w:val="32"/>
        </w:rPr>
        <w:t>月</w:t>
      </w:r>
      <w:r>
        <w:rPr>
          <w:rFonts w:hint="default" w:ascii="仿宋_GB2312" w:eastAsia="仿宋_GB2312" w:cs="Times New Roman"/>
          <w:color w:val="000000"/>
          <w:spacing w:val="10"/>
          <w:sz w:val="32"/>
          <w:szCs w:val="32"/>
          <w:lang w:val="en-US" w:eastAsia="zh-CN"/>
        </w:rPr>
        <w:t>10</w:t>
      </w:r>
      <w:r>
        <w:rPr>
          <w:rFonts w:hint="eastAsia" w:ascii="仿宋_GB2312" w:hAnsi="Times New Roman" w:eastAsia="仿宋_GB2312" w:cs="Times New Roman"/>
          <w:color w:val="000000"/>
          <w:spacing w:val="10"/>
          <w:sz w:val="32"/>
          <w:szCs w:val="32"/>
        </w:rPr>
        <w:t>日</w:t>
      </w:r>
    </w:p>
    <w:p>
      <w:pPr>
        <w:snapToGrid w:val="0"/>
        <w:spacing w:line="360" w:lineRule="auto"/>
        <w:ind w:right="28"/>
        <w:jc w:val="left"/>
        <w:rPr>
          <w:rFonts w:hint="eastAsia" w:ascii="黑体" w:eastAsia="黑体"/>
          <w:spacing w:val="8"/>
          <w:sz w:val="32"/>
        </w:rPr>
      </w:pPr>
    </w:p>
    <w:p>
      <w:pPr>
        <w:snapToGrid w:val="0"/>
        <w:spacing w:line="300" w:lineRule="auto"/>
        <w:ind w:right="26"/>
        <w:jc w:val="left"/>
        <w:rPr>
          <w:rFonts w:hint="eastAsia" w:ascii="黑体" w:eastAsia="黑体"/>
          <w:spacing w:val="8"/>
          <w:sz w:val="28"/>
          <w:szCs w:val="22"/>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317"/>
        <w:textAlignment w:val="auto"/>
        <w:rPr>
          <w:rFonts w:ascii="长城仿宋" w:eastAsia="长城仿宋"/>
          <w:sz w:val="28"/>
        </w:rPr>
      </w:pPr>
      <w:r>
        <w:rPr>
          <w:rFonts w:hint="eastAsia" w:ascii="仿宋_GB2312" w:eastAsia="仿宋_GB2312"/>
          <w:spacing w:val="8"/>
          <w:sz w:val="28"/>
        </w:rPr>
        <w:t>抄送：证监会上市司、法治司；深圳证券交易所。</w:t>
      </w:r>
    </w:p>
    <w:p>
      <w:pPr>
        <w:pBdr>
          <w:top w:val="single" w:color="auto" w:sz="4" w:space="6"/>
        </w:pBdr>
        <w:adjustRightInd w:val="0"/>
        <w:snapToGrid w:val="0"/>
        <w:spacing w:after="109" w:afterLines="35"/>
        <w:ind w:firstLine="318"/>
        <w:jc w:val="left"/>
        <w:rPr>
          <w:rFonts w:hint="eastAsia" w:ascii="仿宋_GB2312" w:eastAsia="仿宋_GB2312"/>
          <w:spacing w:val="8"/>
          <w:sz w:val="28"/>
        </w:rPr>
      </w:pPr>
      <w:r>
        <w:rPr>
          <w:rFonts w:hint="eastAsia" w:ascii="仿宋_GB2312" w:eastAsia="仿宋_GB2312"/>
          <w:spacing w:val="8"/>
          <w:sz w:val="28"/>
        </w:rPr>
        <w:t xml:space="preserve">广东证监局办公室              </w:t>
      </w:r>
      <w:r>
        <w:rPr>
          <w:rFonts w:hint="default" w:ascii="仿宋_GB2312" w:eastAsia="仿宋_GB2312"/>
          <w:spacing w:val="8"/>
          <w:sz w:val="28"/>
          <w:lang w:val="en-US"/>
        </w:rPr>
        <w:t xml:space="preserve">   </w:t>
      </w:r>
      <w:r>
        <w:rPr>
          <w:rFonts w:hint="eastAsia" w:ascii="仿宋_GB2312" w:eastAsia="仿宋_GB2312"/>
          <w:spacing w:val="8"/>
          <w:sz w:val="28"/>
        </w:rPr>
        <w:t xml:space="preserve"> </w:t>
      </w:r>
      <w:r>
        <w:rPr>
          <w:rFonts w:hint="default" w:ascii="仿宋_GB2312" w:eastAsia="仿宋_GB2312"/>
          <w:spacing w:val="8"/>
          <w:sz w:val="28"/>
          <w:lang w:val="en" w:eastAsia="zh-CN"/>
        </w:rPr>
        <w:t>202</w:t>
      </w:r>
      <w:r>
        <w:rPr>
          <w:rFonts w:hint="default" w:ascii="仿宋_GB2312" w:eastAsia="仿宋_GB2312"/>
          <w:spacing w:val="8"/>
          <w:sz w:val="28"/>
          <w:lang w:val="en-US" w:eastAsia="zh-CN"/>
        </w:rPr>
        <w:t>4</w:t>
      </w:r>
      <w:r>
        <w:rPr>
          <w:rFonts w:hint="eastAsia" w:ascii="仿宋_GB2312" w:eastAsia="仿宋_GB2312"/>
          <w:spacing w:val="8"/>
          <w:sz w:val="28"/>
        </w:rPr>
        <w:t>年</w:t>
      </w:r>
      <w:r>
        <w:rPr>
          <w:rFonts w:hint="default" w:ascii="仿宋_GB2312" w:eastAsia="仿宋_GB2312"/>
          <w:spacing w:val="8"/>
          <w:sz w:val="28"/>
          <w:lang w:val="en-US"/>
        </w:rPr>
        <w:t>10</w:t>
      </w:r>
      <w:r>
        <w:rPr>
          <w:rFonts w:hint="eastAsia" w:ascii="仿宋_GB2312" w:eastAsia="仿宋_GB2312"/>
          <w:spacing w:val="8"/>
          <w:sz w:val="28"/>
        </w:rPr>
        <w:t>月</w:t>
      </w:r>
      <w:r>
        <w:rPr>
          <w:rFonts w:hint="default" w:ascii="仿宋_GB2312" w:eastAsia="仿宋_GB2312"/>
          <w:spacing w:val="8"/>
          <w:sz w:val="28"/>
          <w:lang w:val="en-US"/>
        </w:rPr>
        <w:t>11</w:t>
      </w:r>
      <w:r>
        <w:rPr>
          <w:rFonts w:hint="eastAsia" w:ascii="仿宋_GB2312" w:eastAsia="仿宋_GB2312"/>
          <w:spacing w:val="8"/>
          <w:sz w:val="28"/>
        </w:rPr>
        <w:t>日印发</w:t>
      </w:r>
    </w:p>
    <w:p>
      <w:pPr>
        <w:pBdr>
          <w:top w:val="single" w:color="auto" w:sz="8" w:space="7"/>
        </w:pBdr>
        <w:overflowPunct w:val="0"/>
        <w:adjustRightInd w:val="0"/>
        <w:snapToGrid w:val="0"/>
        <w:spacing w:beforeLines="0" w:after="0" w:afterLines="0"/>
        <w:ind w:firstLine="0"/>
        <w:jc w:val="left"/>
        <w:rPr>
          <w:rFonts w:hint="eastAsia" w:ascii="仿宋_GB2312" w:eastAsia="仿宋_GB2312"/>
          <w:spacing w:val="8"/>
          <w:sz w:val="2"/>
          <w:szCs w:val="2"/>
        </w:rPr>
      </w:pPr>
    </w:p>
    <w:bookmarkEnd w:id="0"/>
    <w:p>
      <w:pPr>
        <w:overflowPunct w:val="0"/>
        <w:snapToGrid w:val="0"/>
        <w:spacing w:beforeLines="0" w:afterLines="0" w:line="240" w:lineRule="auto"/>
        <w:rPr>
          <w:sz w:val="2"/>
          <w:szCs w:val="2"/>
          <w:highlight w:val="none"/>
        </w:rPr>
      </w:pPr>
    </w:p>
    <w:sectPr>
      <w:headerReference r:id="rId3" w:type="default"/>
      <w:footerReference r:id="rId4" w:type="default"/>
      <w:pgSz w:w="11906" w:h="16838"/>
      <w:pgMar w:top="2098"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仿宋">
    <w:altName w:val="宋体"/>
    <w:panose1 w:val="0201060900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FAAAAAgAh07iQM6pebnPAAAABQEA&#10;AA8AAAAAAAAAAQAgAAAAOAAAAGRycy9kb3ducmV2LnhtbFBLAQIUABQAAAAIAIdO4kDkov7PyAEA&#10;AJkDAAAOAAAAAAAAAAEAIAAAADQBAABkcnMvZTJvRG9jLnhtbFBLAQIUAAoAAAAAAIdO4kAAAAAA&#10;AAAAAAAAAAAEAAAAAAAAAAAAEAAAABYAAABkcnMvUEsBAhQACgAAAAAAh07iQAAAAAAAAAAAAAAA&#10;AAYAAAAAAAAAAAAQAAAAKAMAAF9yZWxzL1BLBQYAAAAABgAGAFkBAABuBQAAAAA=&#10;">
              <v:fill on="f" focussize="0,0"/>
              <v:stroke on="f"/>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F1CA2"/>
    <w:rsid w:val="12919AC2"/>
    <w:rsid w:val="31FB88D9"/>
    <w:rsid w:val="35FF2DA2"/>
    <w:rsid w:val="67F73A66"/>
    <w:rsid w:val="73FF1CA2"/>
    <w:rsid w:val="763DC75E"/>
    <w:rsid w:val="76A72B9C"/>
    <w:rsid w:val="7F6F38C8"/>
    <w:rsid w:val="7F77E6F5"/>
    <w:rsid w:val="7FD67CEF"/>
    <w:rsid w:val="9F5FF352"/>
    <w:rsid w:val="BEBE8BA4"/>
    <w:rsid w:val="DABE72BE"/>
    <w:rsid w:val="F97FFC0E"/>
    <w:rsid w:val="FABD2AC2"/>
    <w:rsid w:val="FB9D6C63"/>
    <w:rsid w:val="FBFD651F"/>
    <w:rsid w:val="FCF3EDA0"/>
    <w:rsid w:val="FF7B8759"/>
    <w:rsid w:val="FF7C66D8"/>
    <w:rsid w:val="FFFF6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 w:type="paragraph" w:styleId="3">
    <w:name w:val="footer"/>
    <w:basedOn w:val="1"/>
    <w:qFormat/>
    <w:uiPriority w:val="0"/>
    <w:pPr>
      <w:tabs>
        <w:tab w:val="center" w:pos="4153"/>
        <w:tab w:val="right" w:pos="8306"/>
      </w:tabs>
      <w:snapToGrid w:val="0"/>
      <w:jc w:val="left"/>
    </w:pPr>
    <w:rPr>
      <w:kern w:val="2"/>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styleId="8">
    <w:name w:val="List Paragraph"/>
    <w:basedOn w:val="1"/>
    <w:qFormat/>
    <w:uiPriority w:val="0"/>
    <w:pPr>
      <w:ind w:firstLine="420" w:firstLineChars="200"/>
    </w:pPr>
  </w:style>
  <w:style w:type="paragraph" w:customStyle="1" w:styleId="9">
    <w:name w:val="p0"/>
    <w:basedOn w:val="1"/>
    <w:qFormat/>
    <w:uiPriority w:val="0"/>
    <w:pPr>
      <w:widowControl/>
    </w:pPr>
    <w:rPr>
      <w:rFonts w:hint="eastAsia"/>
    </w:rPr>
  </w:style>
  <w:style w:type="paragraph" w:customStyle="1" w:styleId="10">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2024-08-20T01:10:00Z</dcterms:created>
  <dc:creator>刘漓竹</dc:creator>
  <cp:lastModifiedBy>黄小炜</cp:lastModifiedBy>
  <cp:lastPrinted>2024-09-02T11:44:00Z</cp:lastPrinted>
  <dcterms:modified xsi:type="dcterms:W3CDTF">2024-10-14T16:33:20Z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1CD66B37E3AE975750D70C679F9C549B</vt:lpwstr>
  </property>
</Properties>
</file>