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1EE3E">
      <w:pPr>
        <w:rPr>
          <w:rFonts w:ascii="仿宋" w:hAnsi="仿宋" w:eastAsia="仿宋"/>
          <w:sz w:val="26"/>
          <w:szCs w:val="26"/>
        </w:rPr>
      </w:pPr>
      <w:r>
        <w:rPr>
          <w:rFonts w:hint="eastAsia" w:ascii="仿宋" w:hAnsi="仿宋" w:eastAsia="仿宋"/>
          <w:sz w:val="26"/>
          <w:szCs w:val="26"/>
        </w:rPr>
        <w:t>证券代码：6</w:t>
      </w:r>
      <w:r>
        <w:rPr>
          <w:rFonts w:ascii="仿宋" w:hAnsi="仿宋" w:eastAsia="仿宋"/>
          <w:sz w:val="26"/>
          <w:szCs w:val="26"/>
        </w:rPr>
        <w:t>0</w:t>
      </w:r>
      <w:r>
        <w:rPr>
          <w:rFonts w:hint="eastAsia" w:ascii="仿宋" w:hAnsi="仿宋" w:eastAsia="仿宋"/>
          <w:sz w:val="26"/>
          <w:szCs w:val="26"/>
        </w:rPr>
        <w:t xml:space="preserve">0019 </w:t>
      </w:r>
      <w:r>
        <w:rPr>
          <w:rFonts w:ascii="仿宋" w:hAnsi="仿宋" w:eastAsia="仿宋"/>
          <w:sz w:val="26"/>
          <w:szCs w:val="26"/>
        </w:rPr>
        <w:t xml:space="preserve">                      </w:t>
      </w:r>
      <w:r>
        <w:rPr>
          <w:rFonts w:hint="eastAsia" w:ascii="仿宋" w:hAnsi="仿宋" w:eastAsia="仿宋"/>
          <w:sz w:val="26"/>
          <w:szCs w:val="26"/>
        </w:rPr>
        <w:t xml:space="preserve">证券简称：宝钢股份 </w:t>
      </w:r>
      <w:r>
        <w:rPr>
          <w:rFonts w:ascii="仿宋" w:hAnsi="仿宋" w:eastAsia="仿宋"/>
          <w:sz w:val="26"/>
          <w:szCs w:val="26"/>
        </w:rPr>
        <w:t xml:space="preserve">  </w:t>
      </w:r>
    </w:p>
    <w:p w14:paraId="70285457">
      <w:pPr>
        <w:jc w:val="center"/>
        <w:rPr>
          <w:rFonts w:ascii="仿宋" w:hAnsi="仿宋" w:eastAsia="仿宋"/>
          <w:b/>
          <w:sz w:val="26"/>
          <w:szCs w:val="26"/>
        </w:rPr>
      </w:pPr>
      <w:r>
        <w:rPr>
          <w:rFonts w:hint="eastAsia" w:ascii="仿宋" w:hAnsi="仿宋" w:eastAsia="仿宋"/>
          <w:b/>
          <w:sz w:val="26"/>
          <w:szCs w:val="26"/>
        </w:rPr>
        <w:t>宝山钢铁股份有限公司投资者关系活动记录表</w:t>
      </w:r>
    </w:p>
    <w:p w14:paraId="0F71F5DE">
      <w:pPr>
        <w:wordWrap w:val="0"/>
        <w:jc w:val="right"/>
        <w:rPr>
          <w:rFonts w:ascii="仿宋" w:hAnsi="仿宋" w:eastAsia="仿宋"/>
          <w:sz w:val="26"/>
          <w:szCs w:val="26"/>
        </w:rPr>
      </w:pPr>
      <w:r>
        <w:rPr>
          <w:rFonts w:hint="eastAsia" w:ascii="仿宋" w:hAnsi="仿宋" w:eastAsia="仿宋"/>
          <w:sz w:val="26"/>
          <w:szCs w:val="26"/>
        </w:rPr>
        <w:t>编号：2</w:t>
      </w:r>
      <w:r>
        <w:rPr>
          <w:rFonts w:ascii="仿宋" w:hAnsi="仿宋" w:eastAsia="仿宋"/>
          <w:sz w:val="26"/>
          <w:szCs w:val="26"/>
        </w:rPr>
        <w:t>02</w:t>
      </w:r>
      <w:r>
        <w:rPr>
          <w:rFonts w:hint="eastAsia" w:ascii="仿宋" w:hAnsi="仿宋" w:eastAsia="仿宋"/>
          <w:sz w:val="26"/>
          <w:szCs w:val="26"/>
        </w:rPr>
        <w:t>4</w:t>
      </w:r>
      <w:r>
        <w:rPr>
          <w:rFonts w:ascii="仿宋" w:hAnsi="仿宋" w:eastAsia="仿宋"/>
          <w:sz w:val="26"/>
          <w:szCs w:val="26"/>
        </w:rPr>
        <w:t>-</w:t>
      </w:r>
      <w:r>
        <w:rPr>
          <w:rFonts w:hint="eastAsia" w:ascii="仿宋" w:hAnsi="仿宋" w:eastAsia="仿宋"/>
          <w:sz w:val="26"/>
          <w:szCs w:val="26"/>
        </w:rPr>
        <w:t>00</w:t>
      </w:r>
      <w:r>
        <w:rPr>
          <w:rFonts w:hint="eastAsia" w:ascii="仿宋" w:hAnsi="仿宋" w:eastAsia="仿宋"/>
          <w:sz w:val="26"/>
          <w:szCs w:val="26"/>
          <w:lang w:val="en-US" w:eastAsia="zh-CN"/>
        </w:rPr>
        <w:t>3</w:t>
      </w:r>
      <w:bookmarkStart w:id="0" w:name="_GoBack"/>
      <w:bookmarkEnd w:id="0"/>
      <w:r>
        <w:rPr>
          <w:rFonts w:ascii="仿宋" w:hAnsi="仿宋" w:eastAsia="仿宋"/>
          <w:sz w:val="26"/>
          <w:szCs w:val="26"/>
        </w:rPr>
        <w:t xml:space="preserve">  </w:t>
      </w:r>
    </w:p>
    <w:tbl>
      <w:tblPr>
        <w:tblStyle w:val="9"/>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6471"/>
      </w:tblGrid>
      <w:tr w14:paraId="6E11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73F14C40">
            <w:pPr>
              <w:rPr>
                <w:rFonts w:ascii="仿宋" w:hAnsi="仿宋" w:eastAsia="仿宋" w:cs="仿宋"/>
                <w:sz w:val="26"/>
                <w:szCs w:val="26"/>
              </w:rPr>
            </w:pPr>
            <w:r>
              <w:rPr>
                <w:rFonts w:hint="eastAsia" w:ascii="仿宋" w:hAnsi="仿宋" w:eastAsia="仿宋" w:cs="仿宋"/>
                <w:sz w:val="26"/>
                <w:szCs w:val="26"/>
              </w:rPr>
              <w:t>投资者关系活动类别</w:t>
            </w:r>
          </w:p>
        </w:tc>
        <w:tc>
          <w:tcPr>
            <w:tcW w:w="6471" w:type="dxa"/>
            <w:tcBorders>
              <w:top w:val="single" w:color="auto" w:sz="12" w:space="0"/>
              <w:left w:val="single" w:color="auto" w:sz="12" w:space="0"/>
              <w:bottom w:val="single" w:color="auto" w:sz="12" w:space="0"/>
              <w:right w:val="single" w:color="auto" w:sz="12" w:space="0"/>
            </w:tcBorders>
          </w:tcPr>
          <w:p w14:paraId="0C14AF62">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特定对象调研            </w:t>
            </w:r>
            <w:r>
              <w:rPr>
                <w:rFonts w:hint="eastAsia" w:ascii="仿宋" w:hAnsi="仿宋" w:eastAsia="仿宋" w:cs="仿宋"/>
                <w:sz w:val="26"/>
                <w:szCs w:val="26"/>
              </w:rPr>
              <w:sym w:font="Wingdings 2" w:char="F0A3"/>
            </w:r>
            <w:r>
              <w:rPr>
                <w:rFonts w:hint="eastAsia" w:ascii="仿宋" w:hAnsi="仿宋" w:eastAsia="仿宋" w:cs="仿宋"/>
                <w:sz w:val="26"/>
                <w:szCs w:val="26"/>
              </w:rPr>
              <w:t>分析师会议</w:t>
            </w:r>
          </w:p>
          <w:p w14:paraId="51C55A79">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媒体采访                </w:t>
            </w:r>
            <w:r>
              <w:rPr>
                <w:rFonts w:hint="eastAsia" w:ascii="仿宋" w:hAnsi="仿宋" w:eastAsia="仿宋" w:cs="仿宋"/>
                <w:sz w:val="26"/>
                <w:szCs w:val="26"/>
              </w:rPr>
              <w:sym w:font="Wingdings 2" w:char="0052"/>
            </w:r>
            <w:r>
              <w:rPr>
                <w:rFonts w:hint="eastAsia" w:ascii="仿宋" w:hAnsi="仿宋" w:eastAsia="仿宋" w:cs="仿宋"/>
                <w:sz w:val="26"/>
                <w:szCs w:val="26"/>
              </w:rPr>
              <w:t>业绩说明会</w:t>
            </w:r>
          </w:p>
          <w:p w14:paraId="49CCB6FE">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新闻发布会              </w:t>
            </w:r>
            <w:r>
              <w:rPr>
                <w:rFonts w:hint="eastAsia" w:ascii="仿宋" w:hAnsi="仿宋" w:eastAsia="仿宋" w:cs="仿宋"/>
                <w:sz w:val="26"/>
                <w:szCs w:val="26"/>
              </w:rPr>
              <w:sym w:font="Wingdings 2" w:char="F0A3"/>
            </w:r>
            <w:r>
              <w:rPr>
                <w:rFonts w:hint="eastAsia" w:ascii="仿宋" w:hAnsi="仿宋" w:eastAsia="仿宋" w:cs="仿宋"/>
                <w:sz w:val="26"/>
                <w:szCs w:val="26"/>
              </w:rPr>
              <w:t>路演活动</w:t>
            </w:r>
          </w:p>
          <w:p w14:paraId="26F8A23D">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 xml:space="preserve">现场参观                </w:t>
            </w:r>
          </w:p>
          <w:p w14:paraId="5D37C79B">
            <w:pPr>
              <w:rPr>
                <w:rFonts w:ascii="仿宋" w:hAnsi="仿宋" w:eastAsia="仿宋" w:cs="仿宋"/>
                <w:sz w:val="26"/>
                <w:szCs w:val="26"/>
              </w:rPr>
            </w:pPr>
            <w:r>
              <w:rPr>
                <w:rFonts w:hint="eastAsia" w:ascii="仿宋" w:hAnsi="仿宋" w:eastAsia="仿宋" w:cs="仿宋"/>
                <w:sz w:val="26"/>
                <w:szCs w:val="26"/>
              </w:rPr>
              <w:sym w:font="Wingdings 2" w:char="F0A3"/>
            </w:r>
            <w:r>
              <w:rPr>
                <w:rFonts w:hint="eastAsia" w:ascii="仿宋" w:hAnsi="仿宋" w:eastAsia="仿宋" w:cs="仿宋"/>
                <w:sz w:val="26"/>
                <w:szCs w:val="26"/>
              </w:rPr>
              <w:t>其他</w:t>
            </w:r>
          </w:p>
        </w:tc>
      </w:tr>
      <w:tr w14:paraId="519E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73AFB63">
            <w:pPr>
              <w:rPr>
                <w:rFonts w:ascii="仿宋" w:hAnsi="仿宋" w:eastAsia="仿宋" w:cs="仿宋"/>
                <w:sz w:val="26"/>
                <w:szCs w:val="26"/>
              </w:rPr>
            </w:pPr>
            <w:r>
              <w:rPr>
                <w:rFonts w:hint="eastAsia" w:ascii="仿宋" w:hAnsi="仿宋" w:eastAsia="仿宋" w:cs="仿宋"/>
                <w:sz w:val="26"/>
                <w:szCs w:val="26"/>
              </w:rPr>
              <w:t>参与人员姓名</w:t>
            </w:r>
          </w:p>
        </w:tc>
        <w:tc>
          <w:tcPr>
            <w:tcW w:w="6471" w:type="dxa"/>
            <w:tcBorders>
              <w:top w:val="single" w:color="auto" w:sz="12" w:space="0"/>
              <w:left w:val="single" w:color="auto" w:sz="12" w:space="0"/>
              <w:bottom w:val="single" w:color="auto" w:sz="12" w:space="0"/>
              <w:right w:val="single" w:color="auto" w:sz="12" w:space="0"/>
            </w:tcBorders>
          </w:tcPr>
          <w:p w14:paraId="3ED27927">
            <w:pPr>
              <w:rPr>
                <w:rFonts w:hint="default" w:ascii="仿宋" w:hAnsi="仿宋" w:eastAsia="仿宋" w:cs="仿宋"/>
                <w:sz w:val="26"/>
                <w:szCs w:val="26"/>
                <w:lang w:val="en-US" w:eastAsia="zh-CN"/>
              </w:rPr>
            </w:pPr>
            <w:r>
              <w:rPr>
                <w:rFonts w:ascii="仿宋" w:hAnsi="仿宋" w:eastAsia="仿宋" w:cs="仿宋"/>
                <w:sz w:val="26"/>
                <w:szCs w:val="26"/>
              </w:rPr>
              <w:t>通过</w:t>
            </w:r>
            <w:r>
              <w:rPr>
                <w:rFonts w:hint="eastAsia" w:ascii="仿宋" w:hAnsi="仿宋" w:eastAsia="仿宋" w:cs="仿宋"/>
                <w:sz w:val="26"/>
                <w:szCs w:val="26"/>
                <w:lang w:val="en-US" w:eastAsia="zh-CN"/>
              </w:rPr>
              <w:t>全景网</w:t>
            </w:r>
            <w:r>
              <w:rPr>
                <w:rFonts w:ascii="仿宋" w:hAnsi="仿宋" w:eastAsia="仿宋" w:cs="仿宋"/>
                <w:sz w:val="26"/>
                <w:szCs w:val="26"/>
              </w:rPr>
              <w:t>平台发布</w:t>
            </w:r>
            <w:r>
              <w:rPr>
                <w:rFonts w:hint="eastAsia" w:ascii="仿宋" w:hAnsi="仿宋" w:eastAsia="仿宋" w:cs="仿宋"/>
                <w:sz w:val="26"/>
                <w:szCs w:val="26"/>
                <w:lang w:val="en-US" w:eastAsia="zh-CN"/>
              </w:rPr>
              <w:t>线上业绩说明会</w:t>
            </w:r>
          </w:p>
        </w:tc>
      </w:tr>
      <w:tr w14:paraId="6F17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80B315E">
            <w:pPr>
              <w:rPr>
                <w:rFonts w:ascii="仿宋" w:hAnsi="仿宋" w:eastAsia="仿宋" w:cs="仿宋"/>
                <w:sz w:val="26"/>
                <w:szCs w:val="26"/>
              </w:rPr>
            </w:pPr>
            <w:r>
              <w:rPr>
                <w:rFonts w:hint="eastAsia" w:ascii="仿宋" w:hAnsi="仿宋" w:eastAsia="仿宋" w:cs="仿宋"/>
                <w:sz w:val="26"/>
                <w:szCs w:val="26"/>
              </w:rPr>
              <w:t>时间</w:t>
            </w:r>
          </w:p>
        </w:tc>
        <w:tc>
          <w:tcPr>
            <w:tcW w:w="6471" w:type="dxa"/>
            <w:tcBorders>
              <w:top w:val="single" w:color="auto" w:sz="12" w:space="0"/>
              <w:left w:val="single" w:color="auto" w:sz="12" w:space="0"/>
              <w:bottom w:val="single" w:color="auto" w:sz="12" w:space="0"/>
              <w:right w:val="single" w:color="auto" w:sz="12" w:space="0"/>
            </w:tcBorders>
          </w:tcPr>
          <w:p w14:paraId="5E094E3F">
            <w:pPr>
              <w:rPr>
                <w:rFonts w:ascii="仿宋" w:hAnsi="仿宋" w:eastAsia="仿宋" w:cs="仿宋"/>
                <w:sz w:val="26"/>
                <w:szCs w:val="26"/>
              </w:rPr>
            </w:pPr>
            <w:r>
              <w:rPr>
                <w:rFonts w:hint="eastAsia" w:ascii="仿宋" w:hAnsi="仿宋" w:eastAsia="仿宋" w:cs="仿宋"/>
                <w:sz w:val="26"/>
                <w:szCs w:val="26"/>
                <w:lang w:val="en-US" w:eastAsia="zh-CN"/>
              </w:rPr>
              <w:t>10</w:t>
            </w:r>
            <w:r>
              <w:rPr>
                <w:rFonts w:ascii="仿宋" w:hAnsi="仿宋" w:eastAsia="仿宋" w:cs="仿宋"/>
                <w:sz w:val="26"/>
                <w:szCs w:val="26"/>
              </w:rPr>
              <w:t>月</w:t>
            </w:r>
            <w:r>
              <w:rPr>
                <w:rFonts w:hint="eastAsia" w:ascii="仿宋" w:hAnsi="仿宋" w:eastAsia="仿宋" w:cs="仿宋"/>
                <w:sz w:val="26"/>
                <w:szCs w:val="26"/>
                <w:lang w:val="en-US" w:eastAsia="zh-CN"/>
              </w:rPr>
              <w:t>30</w:t>
            </w:r>
            <w:r>
              <w:rPr>
                <w:rFonts w:ascii="仿宋" w:hAnsi="仿宋" w:eastAsia="仿宋" w:cs="仿宋"/>
                <w:sz w:val="26"/>
                <w:szCs w:val="26"/>
              </w:rPr>
              <w:t>日（周</w:t>
            </w:r>
            <w:r>
              <w:rPr>
                <w:rFonts w:hint="eastAsia" w:ascii="仿宋" w:hAnsi="仿宋" w:eastAsia="仿宋" w:cs="仿宋"/>
                <w:sz w:val="26"/>
                <w:szCs w:val="26"/>
                <w:lang w:val="en-US" w:eastAsia="zh-CN"/>
              </w:rPr>
              <w:t>三</w:t>
            </w:r>
            <w:r>
              <w:rPr>
                <w:rFonts w:ascii="仿宋" w:hAnsi="仿宋" w:eastAsia="仿宋" w:cs="仿宋"/>
                <w:sz w:val="26"/>
                <w:szCs w:val="26"/>
              </w:rPr>
              <w:t>）</w:t>
            </w:r>
            <w:r>
              <w:rPr>
                <w:rFonts w:hint="eastAsia" w:ascii="仿宋" w:hAnsi="仿宋" w:eastAsia="仿宋" w:cs="仿宋"/>
                <w:sz w:val="26"/>
                <w:szCs w:val="26"/>
                <w:lang w:val="en-US" w:eastAsia="zh-CN"/>
              </w:rPr>
              <w:t>上</w:t>
            </w:r>
            <w:r>
              <w:rPr>
                <w:rFonts w:ascii="仿宋" w:hAnsi="仿宋" w:eastAsia="仿宋" w:cs="仿宋"/>
                <w:sz w:val="26"/>
                <w:szCs w:val="26"/>
              </w:rPr>
              <w:t>午</w:t>
            </w:r>
            <w:r>
              <w:rPr>
                <w:rFonts w:hint="eastAsia" w:ascii="仿宋" w:hAnsi="仿宋" w:eastAsia="仿宋" w:cs="仿宋"/>
                <w:sz w:val="26"/>
                <w:szCs w:val="26"/>
                <w:lang w:val="en-US" w:eastAsia="zh-CN"/>
              </w:rPr>
              <w:t>9</w:t>
            </w:r>
            <w:r>
              <w:rPr>
                <w:rFonts w:ascii="仿宋" w:hAnsi="仿宋" w:eastAsia="仿宋" w:cs="仿宋"/>
                <w:sz w:val="26"/>
                <w:szCs w:val="26"/>
              </w:rPr>
              <w:t>:</w:t>
            </w:r>
            <w:r>
              <w:rPr>
                <w:rFonts w:hint="eastAsia" w:ascii="仿宋" w:hAnsi="仿宋" w:eastAsia="仿宋" w:cs="仿宋"/>
                <w:sz w:val="26"/>
                <w:szCs w:val="26"/>
                <w:lang w:val="en-US" w:eastAsia="zh-CN"/>
              </w:rPr>
              <w:t>3</w:t>
            </w:r>
            <w:r>
              <w:rPr>
                <w:rFonts w:ascii="仿宋" w:hAnsi="仿宋" w:eastAsia="仿宋" w:cs="仿宋"/>
                <w:sz w:val="26"/>
                <w:szCs w:val="26"/>
              </w:rPr>
              <w:t>0-1</w:t>
            </w:r>
            <w:r>
              <w:rPr>
                <w:rFonts w:hint="eastAsia" w:ascii="仿宋" w:hAnsi="仿宋" w:eastAsia="仿宋" w:cs="仿宋"/>
                <w:sz w:val="26"/>
                <w:szCs w:val="26"/>
                <w:lang w:val="en-US" w:eastAsia="zh-CN"/>
              </w:rPr>
              <w:t>1</w:t>
            </w:r>
            <w:r>
              <w:rPr>
                <w:rFonts w:hint="eastAsia" w:ascii="仿宋" w:hAnsi="仿宋" w:eastAsia="仿宋" w:cs="仿宋"/>
                <w:sz w:val="26"/>
                <w:szCs w:val="26"/>
              </w:rPr>
              <w:t>:</w:t>
            </w:r>
            <w:r>
              <w:rPr>
                <w:rFonts w:hint="eastAsia" w:ascii="仿宋" w:hAnsi="仿宋" w:eastAsia="仿宋" w:cs="仿宋"/>
                <w:sz w:val="26"/>
                <w:szCs w:val="26"/>
                <w:lang w:val="en-US" w:eastAsia="zh-CN"/>
              </w:rPr>
              <w:t>0</w:t>
            </w:r>
            <w:r>
              <w:rPr>
                <w:rFonts w:hint="eastAsia" w:ascii="仿宋" w:hAnsi="仿宋" w:eastAsia="仿宋" w:cs="仿宋"/>
                <w:sz w:val="26"/>
                <w:szCs w:val="26"/>
              </w:rPr>
              <w:t>0</w:t>
            </w:r>
          </w:p>
        </w:tc>
      </w:tr>
      <w:tr w14:paraId="0F9D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6512E7E1">
            <w:pPr>
              <w:rPr>
                <w:rFonts w:ascii="仿宋" w:hAnsi="仿宋" w:eastAsia="仿宋" w:cs="仿宋"/>
                <w:sz w:val="26"/>
                <w:szCs w:val="26"/>
              </w:rPr>
            </w:pPr>
            <w:r>
              <w:rPr>
                <w:rFonts w:hint="eastAsia" w:ascii="仿宋" w:hAnsi="仿宋" w:eastAsia="仿宋" w:cs="仿宋"/>
                <w:sz w:val="26"/>
                <w:szCs w:val="26"/>
              </w:rPr>
              <w:t>地点</w:t>
            </w:r>
          </w:p>
        </w:tc>
        <w:tc>
          <w:tcPr>
            <w:tcW w:w="6471" w:type="dxa"/>
            <w:tcBorders>
              <w:top w:val="single" w:color="auto" w:sz="12" w:space="0"/>
              <w:left w:val="single" w:color="auto" w:sz="12" w:space="0"/>
              <w:bottom w:val="single" w:color="auto" w:sz="12" w:space="0"/>
              <w:right w:val="single" w:color="auto" w:sz="12" w:space="0"/>
            </w:tcBorders>
          </w:tcPr>
          <w:p w14:paraId="689EAF3E">
            <w:pPr>
              <w:jc w:val="left"/>
              <w:rPr>
                <w:rFonts w:hint="eastAsia" w:ascii="仿宋" w:hAnsi="仿宋" w:eastAsia="仿宋" w:cs="仿宋"/>
                <w:sz w:val="26"/>
                <w:szCs w:val="26"/>
              </w:rPr>
            </w:pPr>
            <w:r>
              <w:rPr>
                <w:rFonts w:hint="eastAsia" w:ascii="仿宋" w:hAnsi="仿宋" w:eastAsia="仿宋" w:cs="仿宋"/>
                <w:sz w:val="26"/>
                <w:szCs w:val="26"/>
              </w:rPr>
              <w:t>全景投资者关系互动平台</w:t>
            </w:r>
          </w:p>
          <w:p w14:paraId="78CF8B44">
            <w:pPr>
              <w:jc w:val="left"/>
              <w:rPr>
                <w:rFonts w:ascii="仿宋" w:hAnsi="仿宋" w:eastAsia="仿宋" w:cs="仿宋"/>
                <w:sz w:val="26"/>
                <w:szCs w:val="26"/>
              </w:rPr>
            </w:pPr>
            <w:r>
              <w:rPr>
                <w:rFonts w:hint="eastAsia" w:ascii="仿宋" w:hAnsi="仿宋" w:eastAsia="仿宋" w:cs="仿宋"/>
                <w:sz w:val="26"/>
                <w:szCs w:val="26"/>
              </w:rPr>
              <w:t>（网址：https://rs.p5w.net/html/144975.shtml）</w:t>
            </w:r>
          </w:p>
        </w:tc>
      </w:tr>
      <w:tr w14:paraId="20B5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21D7A2BE">
            <w:pPr>
              <w:rPr>
                <w:rFonts w:ascii="仿宋" w:hAnsi="仿宋" w:eastAsia="仿宋" w:cs="仿宋"/>
                <w:sz w:val="26"/>
                <w:szCs w:val="26"/>
              </w:rPr>
            </w:pPr>
            <w:r>
              <w:rPr>
                <w:rFonts w:hint="eastAsia" w:ascii="仿宋" w:hAnsi="仿宋" w:eastAsia="仿宋" w:cs="仿宋"/>
                <w:sz w:val="26"/>
                <w:szCs w:val="26"/>
              </w:rPr>
              <w:t>上市公司接待人员姓名</w:t>
            </w:r>
          </w:p>
        </w:tc>
        <w:tc>
          <w:tcPr>
            <w:tcW w:w="6471" w:type="dxa"/>
            <w:tcBorders>
              <w:top w:val="single" w:color="auto" w:sz="12" w:space="0"/>
              <w:left w:val="single" w:color="auto" w:sz="12" w:space="0"/>
              <w:bottom w:val="single" w:color="auto" w:sz="12" w:space="0"/>
              <w:right w:val="single" w:color="auto" w:sz="12" w:space="0"/>
            </w:tcBorders>
          </w:tcPr>
          <w:p w14:paraId="182E300C">
            <w:pPr>
              <w:rPr>
                <w:rFonts w:hint="eastAsia" w:ascii="仿宋" w:hAnsi="仿宋" w:eastAsia="仿宋" w:cs="仿宋"/>
                <w:sz w:val="26"/>
                <w:szCs w:val="26"/>
              </w:rPr>
            </w:pPr>
            <w:r>
              <w:rPr>
                <w:rFonts w:hint="eastAsia" w:ascii="仿宋" w:hAnsi="仿宋" w:eastAsia="仿宋" w:cs="仿宋"/>
                <w:sz w:val="26"/>
                <w:szCs w:val="26"/>
              </w:rPr>
              <w:t>副总经理、财务总监、董事会秘书：王娟</w:t>
            </w:r>
          </w:p>
          <w:p w14:paraId="6D283146">
            <w:pPr>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经营财务部部长：冉瑞文</w:t>
            </w:r>
          </w:p>
          <w:p w14:paraId="0732B39F">
            <w:pPr>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证券事务代表：盛志平</w:t>
            </w:r>
          </w:p>
        </w:tc>
      </w:tr>
      <w:tr w14:paraId="439B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580DC432">
            <w:pPr>
              <w:rPr>
                <w:rFonts w:ascii="仿宋" w:hAnsi="仿宋" w:eastAsia="仿宋" w:cs="仿宋"/>
                <w:sz w:val="26"/>
                <w:szCs w:val="26"/>
              </w:rPr>
            </w:pPr>
            <w:r>
              <w:rPr>
                <w:rFonts w:hint="eastAsia" w:ascii="仿宋" w:hAnsi="仿宋" w:eastAsia="仿宋" w:cs="仿宋"/>
                <w:sz w:val="26"/>
                <w:szCs w:val="26"/>
              </w:rPr>
              <w:t>投资者关系活动主要内容介绍</w:t>
            </w:r>
          </w:p>
        </w:tc>
        <w:tc>
          <w:tcPr>
            <w:tcW w:w="6471" w:type="dxa"/>
            <w:tcBorders>
              <w:top w:val="single" w:color="auto" w:sz="12" w:space="0"/>
              <w:left w:val="single" w:color="auto" w:sz="12" w:space="0"/>
              <w:bottom w:val="single" w:color="auto" w:sz="12" w:space="0"/>
              <w:right w:val="single" w:color="auto" w:sz="12" w:space="0"/>
            </w:tcBorders>
          </w:tcPr>
          <w:p w14:paraId="56CEC7D6">
            <w:pPr>
              <w:rPr>
                <w:rFonts w:hint="eastAsia" w:ascii="仿宋" w:hAnsi="仿宋" w:eastAsia="仿宋" w:cs="仿宋"/>
                <w:sz w:val="26"/>
                <w:szCs w:val="26"/>
              </w:rPr>
            </w:pPr>
            <w:r>
              <w:rPr>
                <w:rFonts w:hint="eastAsia" w:ascii="仿宋" w:hAnsi="仿宋" w:eastAsia="仿宋" w:cs="仿宋"/>
                <w:sz w:val="26"/>
                <w:szCs w:val="26"/>
              </w:rPr>
              <w:t>2024年10月30日，宝钢股份披露2024年三季度业绩，并召开业绩网上说明会，公司副总经理、财务总监、董事会秘书王娟，经营财务部部长冉瑞文，以及证券事务代表盛志平出席会议。</w:t>
            </w:r>
          </w:p>
          <w:p w14:paraId="0209CF0D">
            <w:pPr>
              <w:rPr>
                <w:rFonts w:hint="eastAsia" w:ascii="仿宋" w:hAnsi="仿宋" w:eastAsia="仿宋" w:cs="仿宋"/>
                <w:sz w:val="26"/>
                <w:szCs w:val="26"/>
              </w:rPr>
            </w:pPr>
            <w:r>
              <w:rPr>
                <w:rFonts w:hint="eastAsia" w:ascii="仿宋" w:hAnsi="仿宋" w:eastAsia="仿宋" w:cs="仿宋"/>
                <w:sz w:val="26"/>
                <w:szCs w:val="26"/>
              </w:rPr>
              <w:t>会上，公司管理层与投资者就行业展望、业绩情况、并购整合、绿色转型、市值管理等话题以文字问答方式进行了深入交流。</w:t>
            </w:r>
          </w:p>
          <w:p w14:paraId="1B0473E7">
            <w:pPr>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问答精华：</w:t>
            </w:r>
          </w:p>
          <w:p w14:paraId="085CBD69">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1、公司管理层您好，有行业分析认为，目前国内钢铁行业的市场形势以及企业盈利能力，相较于2015年钢铁行业产能过剩时期更为严重，您是否认同这一观点？感谢您的提问。随着中国经济向高质量发展转型、新旧动能转换，中国钢铁行业进入了长周期减量调结构阶段，钢铁需求高峰已过，而产能依然较大，市场形势确实较为严峻，企业经营也面临较大的压力和挑战，相较以前的钢铁行业弱周期，这次确实更为严峻，时间周期也更长。然而，在总量下降的背景下，中国钢铁行业仍有结构性亮点，能源、新能源汽车、绿色家电、高端装备、钢结构等领域将成为中国钢铁需求的增长点。公司将以“四化”为方向引领，以“四有”为经营纲领，坚持高质量发展，持续优化产品结构，把握市场机遇，提高品种盈利能力。</w:t>
            </w:r>
          </w:p>
          <w:p w14:paraId="637AB95A">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2、2024 年国内钢铁行业的下游行业需求波动情况如何？公司如何根据这些下游行业的需求变化调整产品结构和销售策略？感谢您的提问。国内钢铁行业处于长周期减量调结构阶段，2024年国内钢铁总需求继续小幅下降，结构上呈现建筑用钢需求下滑、制造业用钢需求保持平稳的特征，制造业中造船、汽车、家电等需求较为乐观，工程机械相对低迷。公司产品以板材为主，根据下游行业需求情况动态调整品种结构和资源投放，并通过提升产品差异化竞争优势来应对行业下行周期，1-3季度公司“1+1+N”产品销量2255万吨，同比增加223万吨，其中取向硅钢销量同比增长27.5%。同时，为了应对部分下游行业需求下滑的情况，公司大力开拓海外市场，主动把握出口机会，1-3季度出口签约量466万吨，创历史新高。</w:t>
            </w:r>
          </w:p>
          <w:p w14:paraId="5453EBCE">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3、公司今年前三季度业绩有下滑，其中和营收下降幅度相比，净利润同比下降了29.56%，这一降幅明显更大。请问造成净利润大幅下降的主要原因是什么？看到今年成本削减 74.3 亿元，是否与公司的运营效率或者是订单量有关？感谢您的关注，2024年前三季度营收同比下降4.77%，虽小于净利润降幅，但因其营收额的下降对净利润的影响额较大，造成净利润下降的幅度超过营收的降幅；净利润大幅下降的主要原因是钢价跌幅高于原材料价格跌幅，产品毛利缩窄。公司一贯积极推进成本削减，从经济炉料、极致能效、物流降本、质量成本等角度降低成本，对公司经营业绩起到强有力的支撑作用。</w:t>
            </w:r>
          </w:p>
          <w:p w14:paraId="2DF4EB77">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4、请问公司下一步有哪些具体的计划或措施来持续推进成本削减和费用管控？感谢您的提问。公司高度重视成本削减和费用管控工作，将其纳入公司六年滚动规划进行管理，每年还有详细的推进计划。每年实际的成本削减金额为公司经营业绩的持续改善提供强有力的支撑。下一步，我们将结合公司新一轮规划的要求以及行业面临的严峻形势，加大成本削减力度，重点围绕经济炉料、极致能效、物流降本、质量成本及产线效率等方面不断提升公司成本综合竞争力；同时公司还将从业务源头管控、机制变革、系统优化、共建共享等角度探索长效机制，提升成本削减和费用管控的可持续性。</w:t>
            </w:r>
          </w:p>
          <w:p w14:paraId="12D10AD0">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5、对于新开发的高强度钢材，与竞争对手产品相比，在性能、价格和应用范围上的优劣势分别是什么？想了解下公司如何利用这些优势进行市场推广？感谢您对公司的关注。宝钢高强钢具备强大的研发制造能力，经过多年的培育，形成了热轧、冷轧、汽车板为代表的全品种产品系列。宝钢高强钢具备良好的强度、塑性、拉延性能、成型性、碰撞吸能性等各项性能指标，大量应用在工业生产的各个行业，包括汽车、家电、建筑、工程机械等。例如，宝钢汽车板高强钢建立了“吉帕钢”品牌。作为全球最大的汽车高强钢供应商，宝钢在创新方面具有自主引领的担当、开放协同的路径和勇争一流的精神，30多年来在吉帕钢上持续研发，构建全球研发体系，实现了以吉帕钢为代表的先进超高强钢全球领先。同时，宝钢汽车板长期以来坚持以用户为中心，全力以赴满足汽车用户需求。为了满足极致轻量化的需求，宝钢持续提升产品量产供货能力，实现了汽车板高强钢从跟随到引领的跨越。未来全球各行业对钢铁材料需求必定是高强化、低碳化，宝钢股份全系列产品将一如既往为用户提供技术最优、性能最佳的高强钢产品，实现产业链的共同发展。</w:t>
            </w:r>
          </w:p>
          <w:p w14:paraId="6EFD08D0">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6、今年前三季度，宝钢股份出口合同签约量466 万吨，出口销量占比创历史新高。请问钢材主要销往哪些区域，今年全年的出口目标如何？谢谢！公司大力开拓海外市场，主动把握出口机遇，产品出口七十多个国家和地区。2024年公司钢材出口计划达到600万吨。公司出口钢铁产品分渠道情况，主要为东南亚和南亚区域占比35%左右，欧非和中东区域占比27%左右，以及东亚和澳洲区域、美洲区域分别占比20%左右和16%左右。</w:t>
            </w:r>
          </w:p>
          <w:p w14:paraId="1EDA2A8B">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7、公司正在推进的重大项目，如新建生产线、技术改造等的进展情况如何？这些项目对公司未来的业绩和发展有哪些影响？谢谢您的提问。宝钢湛江钢铁有限公司零碳示范工厂项目总投资约45亿元，采用全氢直接还原竖炉、电炉技术，以绿氢、绿电作为能源，建设绿氢全流程零碳工厂，项目计划于2025年底建成，推动公司低碳转型发展。正在建设的硅钢项目充分发挥企业产品相关技术优势和产线建设经验，建成后可有效提升高端品种产品供给能力，满足下游用户对高端材料需求，建设全球硅钢第一品牌，提升公司业绩。</w:t>
            </w:r>
          </w:p>
          <w:p w14:paraId="0C4DCF8C">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8、宝钢股份积极推动绿色低碳转型发展，多家基地完成行业能效标杆示范企业公示。请问公司在绿色低碳发展方面有哪些具体的实践或举措？如何平衡经济效益和环保责任？感谢您的提问，我们集中公司内部的技术力量，广泛征求外部咨询力量，集成了当前全行业最佳节能低碳技术实践，建立了宝钢股份节能低碳技术库，经过了三次更新完善，更新迭代至当前宝武集团的最新节能技术库共138项技术，去年投资23.8亿元，节能41.8万吨标煤。这是我们完成能效标杆示范企业的技术源泉。新增光伏发电112.6MW,绿电交易10.28亿度，用户侧直接废钢回收35.1万吨，开发低碳排放钢系列产品，与一系列下游客户合作试制绿色低碳产品。2023年环保资本投入56.38亿元，累计实施234项超低排放技改项目，四基地全部完成超低排放公示。硫氧化物、氮氧化物、颗粒物排放对比2019年下降了约50%。目前来看，更多的环保投入确实带来了成本的上升，公司内部会把控技术研发投入的节奏，避免过于冒进，同时也需要外部政策、市场机制的支撑，例如绿色环保绩效优秀的企业应享受更多的政策优惠、全国统一碳市场的建立提供市场化的调节机制、以及上下游共同讨论绿色钢材的溢价机制等。总的来说，绿色低碳的进程应该是循序渐进的，需要整个社会的努力。</w:t>
            </w:r>
          </w:p>
          <w:p w14:paraId="40DDA3A5">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9、宝武在西芒杜的矿产投资进度怎么样？成本水平对比国际大矿如何？宝钢股份会大量使用么？感谢您的提问。西芒杜铁矿作为全球储量最大、品质最高的未开发铁矿，2022年由中国宝武旗下子公司宝武资源与赢联盟签约，作为重要的潜在投资方，共同推动项目开发和西芒杜基础设施建设。预计该项目将在2025年年底完成基建建设，并开采出第一船矿。目前来看，因为西芒杜资源品位较高，开采条件优异，达产以后成本具有较高的市场竞争力，宝钢股份各基地目前也在开展相关准备工作，希望在西芒杜项目投产以后可以在配矿结构上有所优化。</w:t>
            </w:r>
          </w:p>
          <w:p w14:paraId="4A4568C8">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10、公司如何落实证券市场要求建立市值管理机构和相应制度？具体进度怎么样？感谢您的关注。公司认为市值管理是长期且系统的工作，过去我们已经建立了投资者关系制度，积极开展与资本市场的交流互动，做好价值传播；回报投资者方面，在章程中规定“现金股利不低于当年度经审计合并报表归属于母公司净利润的50%”，并将分红周期缩短至半年，且在适当的时候开展了与股权激励相挂钩的股票回购及注销式回购，应该说公司的市值管理工作多年来一直在有序开展。但是我们认为最重要的市值管理工作还是经营好一个公司，高质量的基本面是一切市值管理工具发挥作用的前提和基础。对于近日发布的《上市公司监管指引第10号—市值管理（征求意见稿）》，公司正在组织学习和研究，并且关注到其中要求建立市值管理制度的要求，我们也将继续关注正式稿的出台，未来将在监管层的指引下，与时俱进，进一步完善市值管理工作。提升上市公司质量，建立科学管理机制和真诚与市场互动是我们认为市值管理非常重要的三个方面。</w:t>
            </w:r>
          </w:p>
          <w:p w14:paraId="0760126F">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11、鉴于当前东南亚和中东地区存在反倾销措施，公司如何看待明年的出口前景？另外，尽管今年的出口量看起来相当可观，但与去年相比，利润是否有下滑？今年以来，中国钢材出口居高不下，国际市场反倾销压力有所增大，尽管如此，国内市场需求相对疲软促使众多钢铁企业寻求海外机遇，预计短期内中国钢铁产品出口有韧性。就公司而言，今年设定的600万吨出口目标不变，并期望有所突破。毛利方面，出口产品更高一些，但海内外价差相比2023年有所缩小，未来公司将加强与海外客户的长期合作，通过提供定制化解决方案和技术支持来增强客户粘性，我们期望在未来几年内将年出口量提升至1000万吨级别。</w:t>
            </w:r>
          </w:p>
          <w:p w14:paraId="0035C4F9">
            <w:pPr>
              <w:rPr>
                <w:rFonts w:hint="default" w:ascii="仿宋" w:hAnsi="仿宋" w:eastAsia="仿宋" w:cs="仿宋"/>
                <w:sz w:val="26"/>
                <w:szCs w:val="26"/>
                <w:lang w:val="en-US" w:eastAsia="zh-CN"/>
              </w:rPr>
            </w:pPr>
            <w:r>
              <w:rPr>
                <w:rFonts w:hint="default" w:ascii="仿宋" w:hAnsi="仿宋" w:eastAsia="仿宋" w:cs="仿宋"/>
                <w:sz w:val="26"/>
                <w:szCs w:val="26"/>
                <w:lang w:val="en-US" w:eastAsia="zh-CN"/>
              </w:rPr>
              <w:t>12、近年来公司在产品升级和绿色低碳发展方面取得了显著成绩。请问公司今年及未来两到三年的资本支出计划是怎样的？前几年公司已经在绿色低碳、智慧制造、产品升级和装备升级等方面进行了大量投资，特别是在环保改造方面，已经基本完成主要投资。未来几年，我们将重点聚焦于以下几个方面：一是产品升级，继续推进产品的高端化；二是装备改造，进一步优化现有设备，提高生产效率；三是智慧制造，提升自动化和信息化水平；四是日常维护，围绕质量提升和成本降低进行必要的设备维护和改造。从投资规模来看，预计未来几年的资本支出将有所减少，由过去每年200多亿元降至150亿元左右，这将有助于减轻公司的资金压力，并为产品质量和成本控制提供有力支持。</w:t>
            </w:r>
          </w:p>
        </w:tc>
      </w:tr>
      <w:tr w14:paraId="0032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704A55C3">
            <w:pPr>
              <w:rPr>
                <w:rFonts w:ascii="仿宋" w:hAnsi="仿宋" w:eastAsia="仿宋" w:cs="仿宋"/>
                <w:sz w:val="26"/>
                <w:szCs w:val="26"/>
              </w:rPr>
            </w:pPr>
            <w:r>
              <w:rPr>
                <w:rFonts w:hint="eastAsia" w:ascii="仿宋" w:hAnsi="仿宋" w:eastAsia="仿宋" w:cs="仿宋"/>
                <w:sz w:val="26"/>
                <w:szCs w:val="26"/>
              </w:rPr>
              <w:t>附件清单</w:t>
            </w:r>
          </w:p>
        </w:tc>
        <w:tc>
          <w:tcPr>
            <w:tcW w:w="6471" w:type="dxa"/>
            <w:tcBorders>
              <w:top w:val="single" w:color="auto" w:sz="12" w:space="0"/>
              <w:left w:val="single" w:color="auto" w:sz="12" w:space="0"/>
              <w:bottom w:val="single" w:color="auto" w:sz="12" w:space="0"/>
              <w:right w:val="single" w:color="auto" w:sz="12" w:space="0"/>
            </w:tcBorders>
          </w:tcPr>
          <w:p w14:paraId="26C7FDB4">
            <w:pPr>
              <w:rPr>
                <w:rFonts w:ascii="仿宋" w:hAnsi="仿宋" w:eastAsia="仿宋" w:cs="仿宋"/>
                <w:sz w:val="26"/>
                <w:szCs w:val="26"/>
              </w:rPr>
            </w:pPr>
            <w:r>
              <w:rPr>
                <w:rFonts w:hint="eastAsia" w:ascii="仿宋" w:hAnsi="仿宋" w:eastAsia="仿宋" w:cs="仿宋"/>
                <w:sz w:val="26"/>
                <w:szCs w:val="26"/>
              </w:rPr>
              <w:t>无</w:t>
            </w:r>
          </w:p>
        </w:tc>
      </w:tr>
      <w:tr w14:paraId="3B46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Borders>
              <w:top w:val="single" w:color="auto" w:sz="12" w:space="0"/>
              <w:left w:val="single" w:color="auto" w:sz="12" w:space="0"/>
              <w:bottom w:val="single" w:color="auto" w:sz="12" w:space="0"/>
              <w:right w:val="single" w:color="auto" w:sz="12" w:space="0"/>
            </w:tcBorders>
          </w:tcPr>
          <w:p w14:paraId="66B400AD">
            <w:pPr>
              <w:rPr>
                <w:rFonts w:ascii="仿宋" w:hAnsi="仿宋" w:eastAsia="仿宋" w:cs="仿宋"/>
                <w:sz w:val="26"/>
                <w:szCs w:val="26"/>
              </w:rPr>
            </w:pPr>
            <w:r>
              <w:rPr>
                <w:rFonts w:hint="eastAsia" w:ascii="仿宋" w:hAnsi="仿宋" w:eastAsia="仿宋" w:cs="仿宋"/>
                <w:sz w:val="26"/>
                <w:szCs w:val="26"/>
              </w:rPr>
              <w:t>日期</w:t>
            </w:r>
          </w:p>
        </w:tc>
        <w:tc>
          <w:tcPr>
            <w:tcW w:w="6471" w:type="dxa"/>
            <w:tcBorders>
              <w:top w:val="single" w:color="auto" w:sz="12" w:space="0"/>
              <w:left w:val="single" w:color="auto" w:sz="12" w:space="0"/>
              <w:bottom w:val="single" w:color="auto" w:sz="12" w:space="0"/>
              <w:right w:val="single" w:color="auto" w:sz="12" w:space="0"/>
            </w:tcBorders>
          </w:tcPr>
          <w:p w14:paraId="66824A7C">
            <w:pPr>
              <w:rPr>
                <w:rFonts w:ascii="仿宋" w:hAnsi="仿宋" w:eastAsia="仿宋" w:cs="仿宋"/>
                <w:sz w:val="26"/>
                <w:szCs w:val="26"/>
              </w:rPr>
            </w:pPr>
            <w:r>
              <w:rPr>
                <w:rFonts w:hint="eastAsia" w:ascii="仿宋" w:hAnsi="仿宋" w:eastAsia="仿宋" w:cs="仿宋"/>
                <w:sz w:val="26"/>
                <w:szCs w:val="26"/>
              </w:rPr>
              <w:t>2024年</w:t>
            </w:r>
            <w:r>
              <w:rPr>
                <w:rFonts w:hint="eastAsia" w:ascii="仿宋" w:hAnsi="仿宋" w:eastAsia="仿宋" w:cs="仿宋"/>
                <w:sz w:val="26"/>
                <w:szCs w:val="26"/>
                <w:lang w:val="en-US" w:eastAsia="zh-CN"/>
              </w:rPr>
              <w:t>10</w:t>
            </w:r>
            <w:r>
              <w:rPr>
                <w:rFonts w:hint="eastAsia" w:ascii="仿宋" w:hAnsi="仿宋" w:eastAsia="仿宋" w:cs="仿宋"/>
                <w:sz w:val="26"/>
                <w:szCs w:val="26"/>
              </w:rPr>
              <w:t>月</w:t>
            </w:r>
            <w:r>
              <w:rPr>
                <w:rFonts w:hint="eastAsia" w:ascii="仿宋" w:hAnsi="仿宋" w:eastAsia="仿宋" w:cs="仿宋"/>
                <w:sz w:val="26"/>
                <w:szCs w:val="26"/>
                <w:lang w:val="en-US" w:eastAsia="zh-CN"/>
              </w:rPr>
              <w:t>30</w:t>
            </w:r>
            <w:r>
              <w:rPr>
                <w:rFonts w:hint="eastAsia" w:ascii="仿宋" w:hAnsi="仿宋" w:eastAsia="仿宋" w:cs="仿宋"/>
                <w:sz w:val="26"/>
                <w:szCs w:val="26"/>
              </w:rPr>
              <w:t>日</w:t>
            </w:r>
          </w:p>
        </w:tc>
      </w:tr>
    </w:tbl>
    <w:p w14:paraId="3472E28C">
      <w:pPr>
        <w:rPr>
          <w:rFonts w:ascii="仿宋" w:hAnsi="仿宋" w:eastAsia="仿宋"/>
          <w:sz w:val="26"/>
          <w:szCs w:val="2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aunPenh">
    <w:altName w:val="Segoe Print"/>
    <w:panose1 w:val="00000000000000000000"/>
    <w:charset w:val="00"/>
    <w:family w:val="auto"/>
    <w:pitch w:val="default"/>
    <w:sig w:usb0="00000000" w:usb1="00000000" w:usb2="00010000" w:usb3="00000000" w:csb0="0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256334"/>
    </w:sdtPr>
    <w:sdtEndPr>
      <w:rPr>
        <w:rFonts w:ascii="宋体" w:hAnsi="宋体" w:eastAsia="宋体"/>
      </w:rPr>
    </w:sdtEndPr>
    <w:sdtContent>
      <w:p w14:paraId="7F4F69D3">
        <w:pPr>
          <w:pStyle w:val="4"/>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14:paraId="342AEC4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NDc5NzNlNDNhM2EwNWI4YzEyMjUwMDFiZDg4YzgifQ=="/>
  </w:docVars>
  <w:rsids>
    <w:rsidRoot w:val="00BF65BF"/>
    <w:rsid w:val="000620AF"/>
    <w:rsid w:val="000922FE"/>
    <w:rsid w:val="000B0ACE"/>
    <w:rsid w:val="001207A1"/>
    <w:rsid w:val="00141562"/>
    <w:rsid w:val="0014702F"/>
    <w:rsid w:val="00156996"/>
    <w:rsid w:val="00167908"/>
    <w:rsid w:val="001913BF"/>
    <w:rsid w:val="00191A32"/>
    <w:rsid w:val="00295249"/>
    <w:rsid w:val="00295AAF"/>
    <w:rsid w:val="00296356"/>
    <w:rsid w:val="0030092D"/>
    <w:rsid w:val="00307701"/>
    <w:rsid w:val="0032048F"/>
    <w:rsid w:val="00325042"/>
    <w:rsid w:val="00331BD7"/>
    <w:rsid w:val="00393008"/>
    <w:rsid w:val="00396340"/>
    <w:rsid w:val="0044788E"/>
    <w:rsid w:val="00450EC3"/>
    <w:rsid w:val="00490A92"/>
    <w:rsid w:val="00495403"/>
    <w:rsid w:val="004B57FF"/>
    <w:rsid w:val="004E0366"/>
    <w:rsid w:val="004F6FD5"/>
    <w:rsid w:val="00500ED3"/>
    <w:rsid w:val="005135B8"/>
    <w:rsid w:val="0053540C"/>
    <w:rsid w:val="00553ECF"/>
    <w:rsid w:val="005D3B69"/>
    <w:rsid w:val="005D50C0"/>
    <w:rsid w:val="005D529A"/>
    <w:rsid w:val="005D59F4"/>
    <w:rsid w:val="00606294"/>
    <w:rsid w:val="006169AB"/>
    <w:rsid w:val="006540C3"/>
    <w:rsid w:val="006708E5"/>
    <w:rsid w:val="00681DC2"/>
    <w:rsid w:val="006B7EF2"/>
    <w:rsid w:val="006C12D8"/>
    <w:rsid w:val="006E5ECE"/>
    <w:rsid w:val="00781157"/>
    <w:rsid w:val="00790A2C"/>
    <w:rsid w:val="007C0792"/>
    <w:rsid w:val="007C6B10"/>
    <w:rsid w:val="007D4139"/>
    <w:rsid w:val="00800257"/>
    <w:rsid w:val="00803FE9"/>
    <w:rsid w:val="00821847"/>
    <w:rsid w:val="00850DCD"/>
    <w:rsid w:val="00867BFA"/>
    <w:rsid w:val="0087172A"/>
    <w:rsid w:val="008B212C"/>
    <w:rsid w:val="008C522E"/>
    <w:rsid w:val="008C6CAD"/>
    <w:rsid w:val="009079D7"/>
    <w:rsid w:val="0092527C"/>
    <w:rsid w:val="009344AA"/>
    <w:rsid w:val="00952A14"/>
    <w:rsid w:val="00965A0B"/>
    <w:rsid w:val="00970474"/>
    <w:rsid w:val="009C1C16"/>
    <w:rsid w:val="009F3A2A"/>
    <w:rsid w:val="00A017DF"/>
    <w:rsid w:val="00A05659"/>
    <w:rsid w:val="00A831F0"/>
    <w:rsid w:val="00A9252C"/>
    <w:rsid w:val="00AA3072"/>
    <w:rsid w:val="00B15B65"/>
    <w:rsid w:val="00B21E71"/>
    <w:rsid w:val="00B27CDC"/>
    <w:rsid w:val="00B33430"/>
    <w:rsid w:val="00B50A4D"/>
    <w:rsid w:val="00B70C99"/>
    <w:rsid w:val="00BF65BF"/>
    <w:rsid w:val="00C04E15"/>
    <w:rsid w:val="00C159C8"/>
    <w:rsid w:val="00C2695B"/>
    <w:rsid w:val="00C53048"/>
    <w:rsid w:val="00C656B9"/>
    <w:rsid w:val="00C668D3"/>
    <w:rsid w:val="00C745D6"/>
    <w:rsid w:val="00C7689F"/>
    <w:rsid w:val="00C842F2"/>
    <w:rsid w:val="00C91E64"/>
    <w:rsid w:val="00CA4F6D"/>
    <w:rsid w:val="00CB7BD1"/>
    <w:rsid w:val="00CF77A2"/>
    <w:rsid w:val="00CF7BCF"/>
    <w:rsid w:val="00D01246"/>
    <w:rsid w:val="00D757E5"/>
    <w:rsid w:val="00DA142E"/>
    <w:rsid w:val="00DA3B99"/>
    <w:rsid w:val="00DC4659"/>
    <w:rsid w:val="00DD63E6"/>
    <w:rsid w:val="00E52353"/>
    <w:rsid w:val="00E874A4"/>
    <w:rsid w:val="00E90499"/>
    <w:rsid w:val="00E917E9"/>
    <w:rsid w:val="00E93C30"/>
    <w:rsid w:val="00EC5D90"/>
    <w:rsid w:val="00F12661"/>
    <w:rsid w:val="00F13695"/>
    <w:rsid w:val="00F31556"/>
    <w:rsid w:val="00F40D1C"/>
    <w:rsid w:val="00F85E39"/>
    <w:rsid w:val="00F86D9F"/>
    <w:rsid w:val="00FE1EC9"/>
    <w:rsid w:val="00FE4064"/>
    <w:rsid w:val="00FF604F"/>
    <w:rsid w:val="03C8048D"/>
    <w:rsid w:val="051806EC"/>
    <w:rsid w:val="0EC5459A"/>
    <w:rsid w:val="145734CB"/>
    <w:rsid w:val="149554ED"/>
    <w:rsid w:val="14C1092D"/>
    <w:rsid w:val="19094ED0"/>
    <w:rsid w:val="1A8D5C0A"/>
    <w:rsid w:val="1AC51CDB"/>
    <w:rsid w:val="1DAE3848"/>
    <w:rsid w:val="1DBB3851"/>
    <w:rsid w:val="1EF86F80"/>
    <w:rsid w:val="22B06996"/>
    <w:rsid w:val="22B95972"/>
    <w:rsid w:val="24F07503"/>
    <w:rsid w:val="255D0D76"/>
    <w:rsid w:val="26887156"/>
    <w:rsid w:val="26F46C82"/>
    <w:rsid w:val="270903E4"/>
    <w:rsid w:val="28AD7631"/>
    <w:rsid w:val="2DF0286D"/>
    <w:rsid w:val="30266A2E"/>
    <w:rsid w:val="30BC68AB"/>
    <w:rsid w:val="32306DF0"/>
    <w:rsid w:val="327A7498"/>
    <w:rsid w:val="38B840F7"/>
    <w:rsid w:val="39ED4C94"/>
    <w:rsid w:val="3CC47DFF"/>
    <w:rsid w:val="3D8635CE"/>
    <w:rsid w:val="43597F19"/>
    <w:rsid w:val="43CB0E23"/>
    <w:rsid w:val="4423068A"/>
    <w:rsid w:val="44A534C7"/>
    <w:rsid w:val="46E511C2"/>
    <w:rsid w:val="47D739CB"/>
    <w:rsid w:val="48147151"/>
    <w:rsid w:val="49AC1673"/>
    <w:rsid w:val="4A9D336C"/>
    <w:rsid w:val="4AF7259C"/>
    <w:rsid w:val="4F7A16A5"/>
    <w:rsid w:val="50B618F8"/>
    <w:rsid w:val="55180172"/>
    <w:rsid w:val="589D0BB5"/>
    <w:rsid w:val="58B67363"/>
    <w:rsid w:val="5EC20432"/>
    <w:rsid w:val="60F601D7"/>
    <w:rsid w:val="617A5355"/>
    <w:rsid w:val="625629DF"/>
    <w:rsid w:val="630F1D5B"/>
    <w:rsid w:val="63367425"/>
    <w:rsid w:val="6730468A"/>
    <w:rsid w:val="687673FC"/>
    <w:rsid w:val="6A4D6497"/>
    <w:rsid w:val="6CC13EB4"/>
    <w:rsid w:val="6CE8748F"/>
    <w:rsid w:val="6E4B226A"/>
    <w:rsid w:val="75C7275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20"/>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styleId="13">
    <w:name w:val="Placeholder Text"/>
    <w:basedOn w:val="10"/>
    <w:semiHidden/>
    <w:qFormat/>
    <w:uiPriority w:val="99"/>
    <w:rPr>
      <w:color w:val="808080"/>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 w:type="paragraph" w:styleId="19">
    <w:name w:val="List Paragraph"/>
    <w:basedOn w:val="1"/>
    <w:qFormat/>
    <w:uiPriority w:val="99"/>
    <w:pPr>
      <w:ind w:firstLine="420" w:firstLineChars="200"/>
    </w:pPr>
  </w:style>
  <w:style w:type="character" w:customStyle="1" w:styleId="20">
    <w:name w:val="批注框文本 Char"/>
    <w:basedOn w:val="10"/>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Baosteel</Company>
  <Pages>9</Pages>
  <Words>5323</Words>
  <Characters>5604</Characters>
  <Lines>50</Lines>
  <Paragraphs>14</Paragraphs>
  <TotalTime>144</TotalTime>
  <ScaleCrop>false</ScaleCrop>
  <LinksUpToDate>false</LinksUpToDate>
  <CharactersWithSpaces>5692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2023-05-29T02:39:00Z</dcterms:created>
  <dc:creator>User</dc:creator>
  <cp:lastModifiedBy>居蒋昊</cp:lastModifiedBy>
  <cp:lastPrinted>2023-09-22T08:49:00Z</cp:lastPrinted>
  <dcterms:modified xsi:type="dcterms:W3CDTF">2024-10-31T01:25:17Z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5EDCDBA00C71492CA47BB0EE1F5ACD71_13</vt:lpwstr>
  </property>
</Properties>
</file>