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D76A5" w14:textId="77777777" w:rsidR="001365EF" w:rsidRDefault="00297AA6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宁波美诺华药业股份有限公司</w:t>
      </w:r>
    </w:p>
    <w:p w14:paraId="7262E645" w14:textId="77777777" w:rsidR="001365EF" w:rsidRDefault="00297AA6">
      <w:pPr>
        <w:spacing w:line="360" w:lineRule="auto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投资者关系活动记录表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6148"/>
      </w:tblGrid>
      <w:tr w:rsidR="001365EF" w14:paraId="1233867C" w14:textId="77777777">
        <w:trPr>
          <w:trHeight w:val="2801"/>
          <w:jc w:val="center"/>
        </w:trPr>
        <w:tc>
          <w:tcPr>
            <w:tcW w:w="2377" w:type="dxa"/>
            <w:vAlign w:val="center"/>
          </w:tcPr>
          <w:p w14:paraId="57E1CEF3" w14:textId="77777777" w:rsidR="001365EF" w:rsidRDefault="001365EF">
            <w:pPr>
              <w:pStyle w:val="TableParagraph"/>
              <w:spacing w:before="7"/>
              <w:rPr>
                <w:rFonts w:ascii="宋体" w:eastAsia="宋体" w:hAnsi="宋体" w:cs="宋体"/>
                <w:sz w:val="18"/>
              </w:rPr>
            </w:pPr>
          </w:p>
          <w:p w14:paraId="0CCD1FBD" w14:textId="77777777" w:rsidR="001365EF" w:rsidRDefault="00297AA6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投资者关系活动类别</w:t>
            </w:r>
          </w:p>
        </w:tc>
        <w:tc>
          <w:tcPr>
            <w:tcW w:w="6148" w:type="dxa"/>
            <w:vAlign w:val="center"/>
          </w:tcPr>
          <w:p w14:paraId="344758DF" w14:textId="77777777" w:rsidR="001365EF" w:rsidRDefault="001365EF">
            <w:pPr>
              <w:pStyle w:val="TableParagraph"/>
              <w:spacing w:before="7"/>
              <w:rPr>
                <w:rFonts w:ascii="宋体" w:eastAsia="宋体" w:hAnsi="宋体" w:cs="宋体"/>
                <w:sz w:val="18"/>
              </w:rPr>
            </w:pPr>
          </w:p>
          <w:p w14:paraId="30293A3B" w14:textId="77777777" w:rsidR="001365EF" w:rsidRDefault="00297AA6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√特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定</w:t>
            </w:r>
            <w:r>
              <w:rPr>
                <w:rFonts w:ascii="宋体" w:eastAsia="宋体" w:hAnsi="宋体" w:cs="宋体" w:hint="eastAsia"/>
                <w:sz w:val="21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象</w:t>
            </w:r>
            <w:r>
              <w:rPr>
                <w:rFonts w:ascii="宋体" w:eastAsia="宋体" w:hAnsi="宋体" w:cs="宋体" w:hint="eastAsia"/>
                <w:sz w:val="21"/>
              </w:rPr>
              <w:t>调研</w:t>
            </w:r>
            <w:r>
              <w:rPr>
                <w:rFonts w:ascii="宋体" w:eastAsia="宋体" w:hAnsi="宋体" w:cs="宋体" w:hint="eastAsia"/>
                <w:sz w:val="21"/>
              </w:rPr>
              <w:tab/>
              <w:t>□分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析</w:t>
            </w:r>
            <w:r>
              <w:rPr>
                <w:rFonts w:ascii="宋体" w:eastAsia="宋体" w:hAnsi="宋体" w:cs="宋体" w:hint="eastAsia"/>
                <w:sz w:val="21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会</w:t>
            </w:r>
            <w:r>
              <w:rPr>
                <w:rFonts w:ascii="宋体" w:eastAsia="宋体" w:hAnsi="宋体" w:cs="宋体" w:hint="eastAsia"/>
                <w:sz w:val="21"/>
              </w:rPr>
              <w:t>议</w:t>
            </w:r>
          </w:p>
          <w:p w14:paraId="38ABAD65" w14:textId="77777777" w:rsidR="001365EF" w:rsidRDefault="001365EF">
            <w:pPr>
              <w:pStyle w:val="TableParagraph"/>
              <w:spacing w:before="11"/>
              <w:rPr>
                <w:rFonts w:ascii="宋体" w:eastAsia="宋体" w:hAnsi="宋体" w:cs="宋体"/>
              </w:rPr>
            </w:pPr>
          </w:p>
          <w:p w14:paraId="2D27CBDE" w14:textId="77777777" w:rsidR="001365EF" w:rsidRDefault="00297AA6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□媒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体</w:t>
            </w:r>
            <w:r>
              <w:rPr>
                <w:rFonts w:ascii="宋体" w:eastAsia="宋体" w:hAnsi="宋体" w:cs="宋体" w:hint="eastAsia"/>
                <w:sz w:val="21"/>
              </w:rPr>
              <w:t>采访</w:t>
            </w:r>
            <w:r>
              <w:rPr>
                <w:rFonts w:ascii="宋体" w:eastAsia="宋体" w:hAnsi="宋体" w:cs="宋体" w:hint="eastAsia"/>
                <w:sz w:val="21"/>
              </w:rPr>
              <w:tab/>
              <w:t>□业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绩</w:t>
            </w:r>
            <w:r>
              <w:rPr>
                <w:rFonts w:ascii="宋体" w:eastAsia="宋体" w:hAnsi="宋体" w:cs="宋体" w:hint="eastAsia"/>
                <w:sz w:val="21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明</w:t>
            </w:r>
            <w:r>
              <w:rPr>
                <w:rFonts w:ascii="宋体" w:eastAsia="宋体" w:hAnsi="宋体" w:cs="宋体" w:hint="eastAsia"/>
                <w:sz w:val="21"/>
              </w:rPr>
              <w:t>会</w:t>
            </w:r>
          </w:p>
          <w:p w14:paraId="6AC4C4C2" w14:textId="77777777" w:rsidR="001365EF" w:rsidRDefault="001365EF">
            <w:pPr>
              <w:pStyle w:val="TableParagraph"/>
              <w:spacing w:before="8"/>
              <w:rPr>
                <w:rFonts w:ascii="宋体" w:eastAsia="宋体" w:hAnsi="宋体" w:cs="宋体"/>
              </w:rPr>
            </w:pPr>
          </w:p>
          <w:p w14:paraId="19BD40C3" w14:textId="77777777" w:rsidR="001365EF" w:rsidRDefault="00297AA6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□新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闻</w:t>
            </w:r>
            <w:r>
              <w:rPr>
                <w:rFonts w:ascii="宋体" w:eastAsia="宋体" w:hAnsi="宋体" w:cs="宋体" w:hint="eastAsia"/>
                <w:sz w:val="21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布</w:t>
            </w:r>
            <w:r>
              <w:rPr>
                <w:rFonts w:ascii="宋体" w:eastAsia="宋体" w:hAnsi="宋体" w:cs="宋体" w:hint="eastAsia"/>
                <w:sz w:val="21"/>
              </w:rPr>
              <w:t>会</w:t>
            </w:r>
            <w:r>
              <w:rPr>
                <w:rFonts w:ascii="宋体" w:eastAsia="宋体" w:hAnsi="宋体" w:cs="宋体" w:hint="eastAsia"/>
                <w:sz w:val="21"/>
              </w:rPr>
              <w:tab/>
              <w:t>□路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演</w:t>
            </w:r>
            <w:r>
              <w:rPr>
                <w:rFonts w:ascii="宋体" w:eastAsia="宋体" w:hAnsi="宋体" w:cs="宋体" w:hint="eastAsia"/>
                <w:sz w:val="21"/>
              </w:rPr>
              <w:t>活动</w:t>
            </w:r>
          </w:p>
          <w:p w14:paraId="0C6A3D1A" w14:textId="77777777" w:rsidR="001365EF" w:rsidRDefault="001365EF">
            <w:pPr>
              <w:pStyle w:val="TableParagraph"/>
              <w:spacing w:before="8"/>
              <w:rPr>
                <w:rFonts w:ascii="宋体" w:eastAsia="宋体" w:hAnsi="宋体" w:cs="宋体"/>
              </w:rPr>
            </w:pPr>
          </w:p>
          <w:p w14:paraId="62B6D420" w14:textId="77777777" w:rsidR="001365EF" w:rsidRDefault="00297AA6">
            <w:pPr>
              <w:pStyle w:val="TableParagraph"/>
              <w:ind w:left="10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□现场参观</w:t>
            </w:r>
          </w:p>
          <w:p w14:paraId="1AF4CCFC" w14:textId="77777777" w:rsidR="001365EF" w:rsidRDefault="001365EF">
            <w:pPr>
              <w:pStyle w:val="TableParagraph"/>
              <w:spacing w:before="11"/>
              <w:rPr>
                <w:rFonts w:ascii="宋体" w:eastAsia="宋体" w:hAnsi="宋体" w:cs="宋体"/>
              </w:rPr>
            </w:pPr>
          </w:p>
          <w:p w14:paraId="3C688E9A" w14:textId="77777777" w:rsidR="001365EF" w:rsidRDefault="00297AA6">
            <w:pPr>
              <w:pStyle w:val="TableParagraph"/>
              <w:ind w:left="10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□其他</w:t>
            </w:r>
          </w:p>
        </w:tc>
      </w:tr>
      <w:tr w:rsidR="001365EF" w14:paraId="718A1DD3" w14:textId="77777777">
        <w:trPr>
          <w:trHeight w:val="1297"/>
          <w:jc w:val="center"/>
        </w:trPr>
        <w:tc>
          <w:tcPr>
            <w:tcW w:w="2377" w:type="dxa"/>
            <w:vAlign w:val="center"/>
          </w:tcPr>
          <w:p w14:paraId="5DBB0309" w14:textId="77777777" w:rsidR="001365EF" w:rsidRDefault="00297AA6">
            <w:pPr>
              <w:pStyle w:val="TableParagraph"/>
              <w:spacing w:line="560" w:lineRule="exact"/>
              <w:ind w:left="107" w:right="96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参与单位名称</w:t>
            </w:r>
          </w:p>
        </w:tc>
        <w:tc>
          <w:tcPr>
            <w:tcW w:w="6148" w:type="dxa"/>
            <w:vAlign w:val="center"/>
          </w:tcPr>
          <w:p w14:paraId="456D13B5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融通基金管理有限公司</w:t>
            </w:r>
          </w:p>
          <w:p w14:paraId="3A8F82A7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上海景林资产管理有限公司</w:t>
            </w:r>
          </w:p>
          <w:p w14:paraId="1CCE89F7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太平洋寿险资管</w:t>
            </w:r>
          </w:p>
          <w:p w14:paraId="75F1EAAF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华泰证券（上海）资产管理有限公司</w:t>
            </w:r>
          </w:p>
          <w:p w14:paraId="160BCD9C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华安基金管理有限公司</w:t>
            </w:r>
          </w:p>
          <w:p w14:paraId="5DDBA666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海富通基金管理有限公司</w:t>
            </w:r>
          </w:p>
          <w:p w14:paraId="4E8B70E5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平安资产管理有限责任公司</w:t>
            </w:r>
          </w:p>
          <w:p w14:paraId="5676D2DD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中信证券资产管理有限公司</w:t>
            </w:r>
          </w:p>
          <w:p w14:paraId="278441AD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天风证券股份有限公司</w:t>
            </w:r>
          </w:p>
          <w:p w14:paraId="17D85813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杭州优益增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投资管理有限公司</w:t>
            </w:r>
          </w:p>
          <w:p w14:paraId="61B79CA7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银基金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管理有限公司</w:t>
            </w:r>
          </w:p>
          <w:p w14:paraId="5C01A502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君和资本管理有限公司</w:t>
            </w:r>
          </w:p>
          <w:p w14:paraId="46241E9C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南方基金管理股份有限公司</w:t>
            </w:r>
          </w:p>
          <w:p w14:paraId="72B71B30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财通医药</w:t>
            </w:r>
          </w:p>
          <w:p w14:paraId="759AFC71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上海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慎知资产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管理合伙企业（有限合伙）</w:t>
            </w:r>
          </w:p>
          <w:p w14:paraId="55D36C91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万有道资产管理有限公司</w:t>
            </w:r>
          </w:p>
          <w:p w14:paraId="2AF8D7B6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远信（珠海）私募基金管理有限公司</w:t>
            </w:r>
          </w:p>
          <w:p w14:paraId="595A81A5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天风证券股份有限公司</w:t>
            </w:r>
          </w:p>
          <w:p w14:paraId="002C69E4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中金汇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理资产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管理有限公司</w:t>
            </w:r>
          </w:p>
          <w:p w14:paraId="33E6B3F7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国泰君安证券</w:t>
            </w:r>
          </w:p>
          <w:p w14:paraId="3492EB3D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信达证券</w:t>
            </w:r>
          </w:p>
          <w:p w14:paraId="49529DC7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财通医药</w:t>
            </w:r>
          </w:p>
          <w:p w14:paraId="017BA481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方正医药</w:t>
            </w:r>
          </w:p>
          <w:p w14:paraId="01FE0AD9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lastRenderedPageBreak/>
              <w:t>太平洋医药</w:t>
            </w:r>
          </w:p>
          <w:p w14:paraId="09F2D3DE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华西医药</w:t>
            </w:r>
          </w:p>
          <w:p w14:paraId="43B6A57F" w14:textId="77777777" w:rsidR="001365EF" w:rsidRDefault="00297AA6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上海五聚资产管理有限公司</w:t>
            </w:r>
          </w:p>
          <w:p w14:paraId="6A704EC0" w14:textId="3A5B8AFD" w:rsidR="001365EF" w:rsidRPr="002F2B11" w:rsidRDefault="00297AA6" w:rsidP="002F2B11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平安证券</w:t>
            </w:r>
          </w:p>
        </w:tc>
      </w:tr>
      <w:tr w:rsidR="001365EF" w14:paraId="4FCFBF04" w14:textId="77777777">
        <w:trPr>
          <w:trHeight w:val="558"/>
          <w:jc w:val="center"/>
        </w:trPr>
        <w:tc>
          <w:tcPr>
            <w:tcW w:w="2377" w:type="dxa"/>
            <w:vAlign w:val="center"/>
          </w:tcPr>
          <w:p w14:paraId="55D3FACB" w14:textId="77777777" w:rsidR="001365EF" w:rsidRDefault="00297AA6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时间</w:t>
            </w:r>
          </w:p>
        </w:tc>
        <w:tc>
          <w:tcPr>
            <w:tcW w:w="6148" w:type="dxa"/>
            <w:vAlign w:val="center"/>
          </w:tcPr>
          <w:p w14:paraId="40491C4E" w14:textId="77777777" w:rsidR="001365EF" w:rsidRDefault="00297AA6">
            <w:pPr>
              <w:pStyle w:val="TableParagrap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2024年</w:t>
            </w: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1365EF" w14:paraId="7D7A49EB" w14:textId="77777777">
        <w:trPr>
          <w:trHeight w:val="561"/>
          <w:jc w:val="center"/>
        </w:trPr>
        <w:tc>
          <w:tcPr>
            <w:tcW w:w="2377" w:type="dxa"/>
            <w:vAlign w:val="center"/>
          </w:tcPr>
          <w:p w14:paraId="7A719E4D" w14:textId="77777777" w:rsidR="001365EF" w:rsidRDefault="00297AA6">
            <w:pPr>
              <w:pStyle w:val="TableParagraph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地点、形式</w:t>
            </w:r>
          </w:p>
        </w:tc>
        <w:tc>
          <w:tcPr>
            <w:tcW w:w="6148" w:type="dxa"/>
            <w:vAlign w:val="center"/>
          </w:tcPr>
          <w:p w14:paraId="73D2EA7A" w14:textId="77777777" w:rsidR="001365EF" w:rsidRDefault="00297AA6">
            <w:pPr>
              <w:pStyle w:val="TableParagrap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投资者交流会</w:t>
            </w:r>
          </w:p>
        </w:tc>
      </w:tr>
      <w:tr w:rsidR="001365EF" w14:paraId="25730F3D" w14:textId="77777777">
        <w:trPr>
          <w:trHeight w:val="824"/>
          <w:jc w:val="center"/>
        </w:trPr>
        <w:tc>
          <w:tcPr>
            <w:tcW w:w="2377" w:type="dxa"/>
            <w:vAlign w:val="center"/>
          </w:tcPr>
          <w:p w14:paraId="69A78EE7" w14:textId="77777777" w:rsidR="001365EF" w:rsidRDefault="00297AA6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上市公司接待人员姓名</w:t>
            </w:r>
          </w:p>
        </w:tc>
        <w:tc>
          <w:tcPr>
            <w:tcW w:w="6148" w:type="dxa"/>
            <w:vAlign w:val="center"/>
          </w:tcPr>
          <w:p w14:paraId="5C22285B" w14:textId="551F6777" w:rsidR="001365EF" w:rsidRDefault="00297AA6">
            <w:pPr>
              <w:pStyle w:val="TableParagraph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董事会秘书：应高峰，董事会办公室总经理：刘环，大客户负责人：周帆，投资者关系负责人：温霖炜</w:t>
            </w:r>
          </w:p>
        </w:tc>
      </w:tr>
      <w:tr w:rsidR="001365EF" w14:paraId="74B6F805" w14:textId="77777777">
        <w:trPr>
          <w:trHeight w:val="2800"/>
          <w:jc w:val="center"/>
        </w:trPr>
        <w:tc>
          <w:tcPr>
            <w:tcW w:w="2377" w:type="dxa"/>
            <w:vAlign w:val="center"/>
          </w:tcPr>
          <w:p w14:paraId="29E3D84A" w14:textId="77777777" w:rsidR="001365EF" w:rsidRDefault="00297AA6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投资者关系活动</w:t>
            </w:r>
          </w:p>
          <w:p w14:paraId="2CA7F165" w14:textId="77777777" w:rsidR="001365EF" w:rsidRDefault="00297AA6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主要内容介绍</w:t>
            </w:r>
          </w:p>
        </w:tc>
        <w:tc>
          <w:tcPr>
            <w:tcW w:w="6148" w:type="dxa"/>
            <w:vAlign w:val="center"/>
          </w:tcPr>
          <w:p w14:paraId="1B7A06D1" w14:textId="77777777" w:rsidR="001365EF" w:rsidRDefault="00297AA6">
            <w:bookmarkStart w:id="0" w:name="_GoBack"/>
            <w:bookmarkEnd w:id="0"/>
            <w:r>
              <w:rPr>
                <w:rFonts w:hint="eastAsia"/>
                <w:lang w:val="en-US"/>
              </w:rPr>
              <w:t>一、</w:t>
            </w:r>
            <w:r>
              <w:t>董事会秘书应高峰介绍公司情况：</w:t>
            </w:r>
          </w:p>
          <w:p w14:paraId="3AF10C28" w14:textId="1CC4ED28" w:rsidR="001365EF" w:rsidRDefault="00297AA6">
            <w:r>
              <w:rPr>
                <w:rFonts w:hint="eastAsia"/>
              </w:rPr>
              <w:t>业绩：公司</w:t>
            </w:r>
            <w:r>
              <w:t>24</w:t>
            </w:r>
            <w:r>
              <w:rPr>
                <w:rFonts w:hint="eastAsia"/>
                <w:lang w:val="en-US"/>
              </w:rPr>
              <w:t>年</w:t>
            </w:r>
            <w:r>
              <w:t>Q1-Q3收入9.49亿元（</w:t>
            </w:r>
            <w:r>
              <w:rPr>
                <w:rFonts w:hint="eastAsia"/>
                <w:lang w:val="en-US"/>
              </w:rPr>
              <w:t>同比增加</w:t>
            </w:r>
            <w:r>
              <w:t>2.21%），</w:t>
            </w:r>
            <w:proofErr w:type="gramStart"/>
            <w:r>
              <w:t>归母</w:t>
            </w:r>
            <w:r>
              <w:rPr>
                <w:rFonts w:hint="eastAsia"/>
                <w:lang w:val="en-US"/>
              </w:rPr>
              <w:t>净利润</w:t>
            </w:r>
            <w:proofErr w:type="gramEnd"/>
            <w:r>
              <w:t>0.63亿元（</w:t>
            </w:r>
            <w:r>
              <w:rPr>
                <w:rFonts w:hint="eastAsia"/>
                <w:lang w:val="en-US"/>
              </w:rPr>
              <w:t>同比增加</w:t>
            </w:r>
            <w:r>
              <w:t>15.97%），</w:t>
            </w:r>
            <w:proofErr w:type="gramStart"/>
            <w:r>
              <w:t>扣非</w:t>
            </w:r>
            <w:r>
              <w:rPr>
                <w:rFonts w:hint="eastAsia"/>
                <w:lang w:val="en-US"/>
              </w:rPr>
              <w:t>后</w:t>
            </w:r>
            <w:proofErr w:type="gramEnd"/>
            <w:r>
              <w:rPr>
                <w:rFonts w:hint="eastAsia"/>
                <w:lang w:val="en-US"/>
              </w:rPr>
              <w:t>净利润</w:t>
            </w:r>
            <w:r>
              <w:t>0.52亿元（</w:t>
            </w:r>
            <w:r>
              <w:rPr>
                <w:rFonts w:hint="eastAsia"/>
                <w:lang w:val="en-US"/>
              </w:rPr>
              <w:t>同比减少</w:t>
            </w:r>
            <w:r>
              <w:t>1.15%）；24Q3单季度实现收入3.41亿</w:t>
            </w:r>
            <w:r>
              <w:rPr>
                <w:rFonts w:hint="eastAsia"/>
                <w:lang w:val="en-US"/>
              </w:rPr>
              <w:t>元</w:t>
            </w:r>
            <w:r>
              <w:t>（</w:t>
            </w:r>
            <w:r>
              <w:rPr>
                <w:rFonts w:hint="eastAsia"/>
                <w:lang w:val="en-US"/>
              </w:rPr>
              <w:t>同比减少</w:t>
            </w:r>
            <w:r>
              <w:t>1.46%），</w:t>
            </w:r>
            <w:proofErr w:type="gramStart"/>
            <w:r>
              <w:t>归母</w:t>
            </w:r>
            <w:r>
              <w:rPr>
                <w:rFonts w:hint="eastAsia"/>
                <w:lang w:val="en-US"/>
              </w:rPr>
              <w:t>净利润</w:t>
            </w:r>
            <w:proofErr w:type="gramEnd"/>
            <w:r>
              <w:t>0.44亿元（</w:t>
            </w:r>
            <w:r>
              <w:rPr>
                <w:rFonts w:hint="eastAsia"/>
                <w:lang w:val="en-US"/>
              </w:rPr>
              <w:t>同比增加</w:t>
            </w:r>
            <w:r>
              <w:t>87.08%），</w:t>
            </w:r>
            <w:proofErr w:type="gramStart"/>
            <w:r>
              <w:t>扣非</w:t>
            </w:r>
            <w:r>
              <w:rPr>
                <w:rFonts w:hint="eastAsia"/>
                <w:lang w:val="en-US"/>
              </w:rPr>
              <w:t>净</w:t>
            </w:r>
            <w:proofErr w:type="gramEnd"/>
            <w:r>
              <w:rPr>
                <w:rFonts w:hint="eastAsia"/>
                <w:lang w:val="en-US"/>
              </w:rPr>
              <w:t>利润</w:t>
            </w:r>
            <w:r>
              <w:t>0.33亿元（</w:t>
            </w:r>
            <w:r>
              <w:rPr>
                <w:rFonts w:hint="eastAsia"/>
                <w:lang w:val="en-US"/>
              </w:rPr>
              <w:t>同比增加</w:t>
            </w:r>
            <w:r>
              <w:t>20.04%）。</w:t>
            </w:r>
          </w:p>
          <w:p w14:paraId="4C6C3186" w14:textId="77777777" w:rsidR="001365EF" w:rsidRDefault="001365EF"/>
          <w:p w14:paraId="23EC56AB" w14:textId="49CACC6E" w:rsidR="001365EF" w:rsidRDefault="00297AA6">
            <w:r>
              <w:rPr>
                <w:rFonts w:hint="eastAsia"/>
                <w:lang w:val="en-US"/>
              </w:rPr>
              <w:t>收入与利润增长</w:t>
            </w:r>
            <w:r>
              <w:t>主要系美诺</w:t>
            </w:r>
            <w:proofErr w:type="gramStart"/>
            <w:r>
              <w:t>华天康30亿片</w:t>
            </w:r>
            <w:proofErr w:type="gramEnd"/>
            <w:r>
              <w:t>固体制剂项目建设全面投入使用。</w:t>
            </w:r>
            <w:r w:rsidR="002F2B11">
              <w:rPr>
                <w:rFonts w:hint="eastAsia"/>
              </w:rPr>
              <w:t>2024年</w:t>
            </w:r>
            <w:r w:rsidR="002F2B11" w:rsidRPr="002F2B11">
              <w:rPr>
                <w:rFonts w:hint="eastAsia"/>
              </w:rPr>
              <w:t>前三季度公司毛利率为</w:t>
            </w:r>
            <w:r w:rsidR="002F2B11" w:rsidRPr="002F2B11">
              <w:t>31.88%，上半年毛利率为29.51%，增长了2.37个百分点。</w:t>
            </w:r>
          </w:p>
          <w:p w14:paraId="14E9EAF7" w14:textId="77777777" w:rsidR="001365EF" w:rsidRDefault="001365EF"/>
          <w:p w14:paraId="5FF35C73" w14:textId="77777777" w:rsidR="001365EF" w:rsidRDefault="00297AA6">
            <w:r>
              <w:rPr>
                <w:rFonts w:hint="eastAsia"/>
              </w:rPr>
              <w:t>二、</w:t>
            </w:r>
            <w:r>
              <w:t>Q&amp;A</w:t>
            </w:r>
          </w:p>
          <w:p w14:paraId="162EA2AA" w14:textId="77777777" w:rsidR="001365EF" w:rsidRDefault="00297AA6">
            <w:r>
              <w:t>Q：CDMO截至Q3以及全年的业绩情况？另外与默</w:t>
            </w:r>
            <w:proofErr w:type="gramStart"/>
            <w:r>
              <w:t>沙东第三轮</w:t>
            </w:r>
            <w:proofErr w:type="gramEnd"/>
            <w:r>
              <w:t>谈判，涉及创新药和兽药的第三轮谈判是否有积极进展？？</w:t>
            </w:r>
          </w:p>
          <w:p w14:paraId="1623030A" w14:textId="04117AF2" w:rsidR="001365EF" w:rsidRDefault="00297AA6">
            <w:r>
              <w:t>A：CDMO 24Q1-Q3整体稳定，收入增幅不高，但附加值提升不错，</w:t>
            </w:r>
            <w:r>
              <w:rPr>
                <w:rFonts w:hint="eastAsia"/>
                <w:lang w:val="en-US"/>
              </w:rPr>
              <w:t>表现于</w:t>
            </w:r>
            <w:r>
              <w:t>毛利率提升。</w:t>
            </w:r>
          </w:p>
          <w:p w14:paraId="583861B6" w14:textId="5F0CB67D" w:rsidR="001365EF" w:rsidRPr="009A1DAA" w:rsidRDefault="00297AA6">
            <w:proofErr w:type="gramStart"/>
            <w:r>
              <w:rPr>
                <w:rFonts w:hint="eastAsia"/>
              </w:rPr>
              <w:t>和默沙</w:t>
            </w:r>
            <w:proofErr w:type="gramEnd"/>
            <w:r>
              <w:rPr>
                <w:rFonts w:hint="eastAsia"/>
              </w:rPr>
              <w:t>东的第三轮谈判在进行中，相信会有新品种落地，创新药及兽药是公司未来重点</w:t>
            </w:r>
            <w:r>
              <w:rPr>
                <w:rFonts w:hint="eastAsia"/>
                <w:lang w:val="en-US"/>
              </w:rPr>
              <w:t>方向</w:t>
            </w:r>
            <w:r>
              <w:rPr>
                <w:rFonts w:hint="eastAsia"/>
              </w:rPr>
              <w:t>。</w:t>
            </w:r>
            <w:r w:rsidRPr="009A1DAA">
              <w:rPr>
                <w:rFonts w:hint="eastAsia"/>
              </w:rPr>
              <w:t>高附加值项目持续带动</w:t>
            </w:r>
            <w:r w:rsidRPr="009A1DAA">
              <w:t>毛利率回升。</w:t>
            </w:r>
          </w:p>
          <w:p w14:paraId="06095D1C" w14:textId="77777777" w:rsidR="001365EF" w:rsidRDefault="001365EF"/>
          <w:p w14:paraId="3045B46B" w14:textId="77777777" w:rsidR="001365EF" w:rsidRDefault="00297AA6">
            <w:r>
              <w:t>Q：</w:t>
            </w:r>
            <w:r>
              <w:rPr>
                <w:rFonts w:hint="eastAsia"/>
              </w:rPr>
              <w:t>大客户</w:t>
            </w:r>
            <w:r>
              <w:t>产能爬坡情况如何，制剂代加工业务2024年的体量情况以及对后续的展望？？</w:t>
            </w:r>
          </w:p>
          <w:p w14:paraId="1C5BB921" w14:textId="5826BE60" w:rsidR="001365EF" w:rsidRDefault="00297AA6">
            <w:r>
              <w:t>A：制剂代加工板块中，小</w:t>
            </w:r>
            <w:proofErr w:type="gramStart"/>
            <w:r>
              <w:t>包装产线的</w:t>
            </w:r>
            <w:proofErr w:type="gramEnd"/>
            <w:r>
              <w:rPr>
                <w:rFonts w:hint="eastAsia"/>
              </w:rPr>
              <w:t>装配</w:t>
            </w:r>
            <w:r>
              <w:t>影响了公司24</w:t>
            </w:r>
            <w:r>
              <w:rPr>
                <w:rFonts w:hint="eastAsia"/>
                <w:lang w:val="en-US"/>
              </w:rPr>
              <w:t>年</w:t>
            </w:r>
            <w:r>
              <w:t>Q1-Q2向大客户的发货节奏。24</w:t>
            </w:r>
            <w:r>
              <w:rPr>
                <w:rFonts w:hint="eastAsia"/>
                <w:lang w:val="en-US"/>
              </w:rPr>
              <w:t>年</w:t>
            </w:r>
            <w:r>
              <w:t>Q3</w:t>
            </w:r>
            <w:proofErr w:type="gramStart"/>
            <w:r>
              <w:t>产线顺畅</w:t>
            </w:r>
            <w:proofErr w:type="gramEnd"/>
            <w:r>
              <w:t>运行，完成上量，目前满负荷生产，预计24</w:t>
            </w:r>
            <w:r>
              <w:rPr>
                <w:rFonts w:hint="eastAsia"/>
                <w:lang w:val="en-US"/>
              </w:rPr>
              <w:t>年</w:t>
            </w:r>
            <w:r>
              <w:t>Q4继续加速放量</w:t>
            </w:r>
            <w:r>
              <w:rPr>
                <w:rFonts w:hint="eastAsia"/>
              </w:rPr>
              <w:t>。</w:t>
            </w:r>
          </w:p>
          <w:p w14:paraId="1EA95737" w14:textId="77777777" w:rsidR="001365EF" w:rsidRDefault="001365EF"/>
          <w:p w14:paraId="7D273E04" w14:textId="7F830FC5" w:rsidR="001365EF" w:rsidRDefault="00297AA6">
            <w:r>
              <w:rPr>
                <w:rFonts w:hint="eastAsia"/>
                <w:lang w:val="en-US"/>
              </w:rPr>
              <w:t>公司</w:t>
            </w:r>
            <w:r>
              <w:t>对25年制剂代加工板块的增长乐观，目前排产及订单量均已创新高，相较24年会有显著增加。</w:t>
            </w:r>
            <w:r>
              <w:rPr>
                <w:rFonts w:hint="eastAsia"/>
              </w:rPr>
              <w:t>2</w:t>
            </w:r>
            <w:r>
              <w:t>5年的额外增量需要看美诺华</w:t>
            </w:r>
            <w:proofErr w:type="gramStart"/>
            <w:r>
              <w:t>天康新产线</w:t>
            </w:r>
            <w:proofErr w:type="gramEnd"/>
            <w:r>
              <w:t>的安装及排产计划，具体情况需要等年底对2025年制剂的整体规划，公司</w:t>
            </w:r>
            <w:r w:rsidR="00511DEE">
              <w:rPr>
                <w:rFonts w:hint="eastAsia"/>
              </w:rPr>
              <w:t>制剂</w:t>
            </w:r>
            <w:r>
              <w:t>业务已经走上正</w:t>
            </w:r>
            <w:r>
              <w:rPr>
                <w:rFonts w:hint="eastAsia"/>
                <w:lang w:val="en-US"/>
              </w:rPr>
              <w:t>轨</w:t>
            </w:r>
            <w:r>
              <w:t>。</w:t>
            </w:r>
          </w:p>
          <w:p w14:paraId="658314CA" w14:textId="77777777" w:rsidR="001365EF" w:rsidRDefault="001365EF"/>
          <w:p w14:paraId="70C1749A" w14:textId="77777777" w:rsidR="001365EF" w:rsidRDefault="00297AA6">
            <w:r>
              <w:t>Q：3-5年公司收入及利润的体量？</w:t>
            </w:r>
          </w:p>
          <w:p w14:paraId="48A33560" w14:textId="056BA628" w:rsidR="001365EF" w:rsidRDefault="00297AA6">
            <w:r>
              <w:t>A：24年向上趋势明显，考虑到附加值更高的制剂业务占</w:t>
            </w:r>
            <w:proofErr w:type="gramStart"/>
            <w:r>
              <w:t>比持续</w:t>
            </w:r>
            <w:proofErr w:type="gramEnd"/>
            <w:r>
              <w:t>提升，</w:t>
            </w:r>
            <w:r>
              <w:rPr>
                <w:rFonts w:hint="eastAsia"/>
              </w:rPr>
              <w:t>未来几年</w:t>
            </w:r>
            <w:r>
              <w:t>净利率有望回到以往的正常水平</w:t>
            </w:r>
            <w:r>
              <w:rPr>
                <w:rFonts w:hint="eastAsia"/>
                <w:lang w:val="en-US"/>
              </w:rPr>
              <w:t>或</w:t>
            </w:r>
            <w:r>
              <w:t>更高，未来几年</w:t>
            </w:r>
            <w:r w:rsidR="00511DEE">
              <w:t>业务稳步增长是可以预期的，</w:t>
            </w:r>
            <w:r>
              <w:t>公司的</w:t>
            </w:r>
            <w:r>
              <w:rPr>
                <w:rFonts w:hint="eastAsia"/>
                <w:lang w:val="en-US"/>
              </w:rPr>
              <w:t>发展</w:t>
            </w:r>
            <w:r>
              <w:t>值得期待。</w:t>
            </w:r>
          </w:p>
          <w:p w14:paraId="3843806A" w14:textId="77777777" w:rsidR="001365EF" w:rsidRDefault="001365EF"/>
          <w:p w14:paraId="10A22280" w14:textId="77777777" w:rsidR="001365EF" w:rsidRDefault="00297AA6">
            <w:r>
              <w:lastRenderedPageBreak/>
              <w:t>Q：</w:t>
            </w:r>
            <w:r>
              <w:rPr>
                <w:rFonts w:hint="eastAsia"/>
              </w:rPr>
              <w:t>大客户</w:t>
            </w:r>
            <w:r>
              <w:t>2025-2026年销售量及利润预期？</w:t>
            </w:r>
          </w:p>
          <w:p w14:paraId="3712409F" w14:textId="74890F0B" w:rsidR="001365EF" w:rsidRDefault="00297AA6">
            <w:r>
              <w:t>A：25年制剂</w:t>
            </w:r>
            <w:r w:rsidR="00511DEE">
              <w:rPr>
                <w:rFonts w:hint="eastAsia"/>
              </w:rPr>
              <w:t>业务</w:t>
            </w:r>
            <w:r>
              <w:t>的收入会持续提升，利润率随着产量的提升增长。随着制剂业务增长，</w:t>
            </w:r>
            <w:r>
              <w:rPr>
                <w:rFonts w:hint="eastAsia"/>
                <w:lang w:val="en-US"/>
              </w:rPr>
              <w:t>24年</w:t>
            </w:r>
            <w:r>
              <w:t>Q3毛利率已大幅回升，具体数字预测需要看Q4整体的情况。</w:t>
            </w:r>
          </w:p>
          <w:p w14:paraId="5245EF79" w14:textId="77777777" w:rsidR="001365EF" w:rsidRDefault="001365EF"/>
          <w:p w14:paraId="6000DB62" w14:textId="77777777" w:rsidR="001365EF" w:rsidRDefault="00297AA6">
            <w:r>
              <w:t>Q：GLP-1的展望？</w:t>
            </w:r>
          </w:p>
          <w:p w14:paraId="1BED240F" w14:textId="3D441045" w:rsidR="001365EF" w:rsidRDefault="00297AA6">
            <w:r>
              <w:t>A：口服GLP-1产品目前有2个商业化路径：（1）license-out，走</w:t>
            </w:r>
            <w:r w:rsidR="0052584D">
              <w:t>新</w:t>
            </w:r>
            <w:r>
              <w:t>药注册流程；（2）以海外保健品（膳食补充剂）的方式，快速上市。目前2条路都在谈，需要看公司规划及市场调研，目前产品开发顺利。</w:t>
            </w:r>
          </w:p>
          <w:p w14:paraId="738D04AD" w14:textId="77777777" w:rsidR="001365EF" w:rsidRDefault="001365EF"/>
          <w:p w14:paraId="03F947A7" w14:textId="77777777" w:rsidR="001365EF" w:rsidRDefault="00297AA6">
            <w:r>
              <w:t>Q：潜在集</w:t>
            </w:r>
            <w:proofErr w:type="gramStart"/>
            <w:r>
              <w:t>采品种</w:t>
            </w:r>
            <w:proofErr w:type="gramEnd"/>
            <w:r>
              <w:t>中，对西格列汀二甲双</w:t>
            </w:r>
            <w:proofErr w:type="gramStart"/>
            <w:r>
              <w:t>胍</w:t>
            </w:r>
            <w:proofErr w:type="gramEnd"/>
            <w:r>
              <w:t>和乙酰半胱氨酸泡腾片的预期，另外对第十批集采的预期？</w:t>
            </w:r>
          </w:p>
          <w:p w14:paraId="0D3E8D3D" w14:textId="57D0E47B" w:rsidR="001365EF" w:rsidRDefault="00297AA6">
            <w:r>
              <w:t>A：预计有2-4个品种</w:t>
            </w:r>
            <w:r>
              <w:rPr>
                <w:rFonts w:hint="eastAsia"/>
              </w:rPr>
              <w:t>会</w:t>
            </w:r>
            <w:r>
              <w:t>去参与国采。</w:t>
            </w:r>
          </w:p>
          <w:p w14:paraId="33BD2026" w14:textId="77777777" w:rsidR="001365EF" w:rsidRDefault="001365EF"/>
          <w:p w14:paraId="7987141D" w14:textId="77777777" w:rsidR="001365EF" w:rsidRDefault="00297AA6">
            <w:r>
              <w:t>Q：未来每年新的制剂获批节奏？</w:t>
            </w:r>
          </w:p>
          <w:p w14:paraId="4E1B9339" w14:textId="03DA291D" w:rsidR="001365EF" w:rsidRDefault="00297AA6">
            <w:r>
              <w:t>A：</w:t>
            </w:r>
            <w:r w:rsidR="003A3DAF">
              <w:t>规划</w:t>
            </w:r>
            <w:r>
              <w:t>每年1</w:t>
            </w:r>
            <w:r w:rsidR="00511DEE">
              <w:t>0</w:t>
            </w:r>
            <w:r>
              <w:t>-20个</w:t>
            </w:r>
            <w:r w:rsidR="00511DEE">
              <w:t>报批，具体获</w:t>
            </w:r>
            <w:proofErr w:type="gramStart"/>
            <w:r w:rsidR="00511DEE">
              <w:t>批情况</w:t>
            </w:r>
            <w:proofErr w:type="gramEnd"/>
            <w:r w:rsidR="00511DEE">
              <w:t>以有关部门审批进度为准</w:t>
            </w:r>
            <w:r>
              <w:t>。</w:t>
            </w:r>
          </w:p>
          <w:p w14:paraId="12EBC0C2" w14:textId="77777777" w:rsidR="001365EF" w:rsidRDefault="001365EF"/>
          <w:p w14:paraId="794E9E27" w14:textId="77777777" w:rsidR="001365EF" w:rsidRDefault="00297AA6">
            <w:r>
              <w:t>Q：集采制剂品种的增量规模？</w:t>
            </w:r>
          </w:p>
          <w:p w14:paraId="5816298A" w14:textId="74EB597A" w:rsidR="001365EF" w:rsidRDefault="00297AA6">
            <w:r>
              <w:t>A：关于国家集</w:t>
            </w:r>
            <w:proofErr w:type="gramStart"/>
            <w:r>
              <w:t>采公司</w:t>
            </w:r>
            <w:proofErr w:type="gramEnd"/>
            <w:r>
              <w:t>不做预测，有信心</w:t>
            </w:r>
            <w:r>
              <w:rPr>
                <w:rFonts w:hint="eastAsia"/>
                <w:lang w:val="en-US"/>
              </w:rPr>
              <w:t>“原料药</w:t>
            </w:r>
            <w:r>
              <w:t>制剂一体化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  <w:lang w:val="en-US"/>
              </w:rPr>
              <w:t>的经营战略</w:t>
            </w:r>
            <w:r>
              <w:t>带来的成本、质量优势</w:t>
            </w:r>
            <w:r>
              <w:rPr>
                <w:rFonts w:hint="eastAsia"/>
                <w:lang w:val="en-US"/>
              </w:rPr>
              <w:t>产生的</w:t>
            </w:r>
            <w:r>
              <w:t>强大的竞争力，预计</w:t>
            </w:r>
            <w:r>
              <w:rPr>
                <w:rFonts w:hint="eastAsia"/>
                <w:lang w:val="en-US"/>
              </w:rPr>
              <w:t>2025年</w:t>
            </w:r>
            <w:r>
              <w:t>制剂板块的增量</w:t>
            </w:r>
            <w:r>
              <w:rPr>
                <w:rFonts w:hint="eastAsia"/>
                <w:lang w:val="en-US"/>
              </w:rPr>
              <w:t>突出</w:t>
            </w:r>
            <w:r>
              <w:t>。</w:t>
            </w:r>
          </w:p>
          <w:p w14:paraId="65447836" w14:textId="77777777" w:rsidR="001365EF" w:rsidRDefault="001365EF"/>
          <w:p w14:paraId="0EC48ABC" w14:textId="77777777" w:rsidR="001365EF" w:rsidRDefault="00297AA6">
            <w:r>
              <w:t>Q：三季度公司汇兑的情况?</w:t>
            </w:r>
          </w:p>
          <w:p w14:paraId="250AFCFB" w14:textId="03D492BD" w:rsidR="001365EF" w:rsidRDefault="00297AA6">
            <w:r>
              <w:t>A：24</w:t>
            </w:r>
            <w:r>
              <w:rPr>
                <w:rFonts w:hint="eastAsia"/>
                <w:lang w:val="en-US"/>
              </w:rPr>
              <w:t>年</w:t>
            </w:r>
            <w:r>
              <w:t>Q3影响较小，公司套保业务逐步停止。预计24年下半年汇兑影响不大。</w:t>
            </w:r>
          </w:p>
          <w:p w14:paraId="3197E2E1" w14:textId="77777777" w:rsidR="001365EF" w:rsidRDefault="001365EF"/>
          <w:p w14:paraId="2AE7A655" w14:textId="77777777" w:rsidR="001365EF" w:rsidRDefault="00297AA6">
            <w:r>
              <w:t>Q：产能布局及利用率？</w:t>
            </w:r>
          </w:p>
          <w:p w14:paraId="13E4E77E" w14:textId="223DC331" w:rsidR="001365EF" w:rsidRDefault="00297AA6">
            <w:r>
              <w:t>A：</w:t>
            </w:r>
            <w:r w:rsidR="00C702C2" w:rsidRPr="00C702C2">
              <w:rPr>
                <w:rFonts w:hint="eastAsia"/>
              </w:rPr>
              <w:t>目前，公司高标准、现代化先进产能储备充足，三大原料药生产基地产能共计约</w:t>
            </w:r>
            <w:r w:rsidR="00C702C2" w:rsidRPr="00C702C2">
              <w:t>1600吨/年，美诺华</w:t>
            </w:r>
            <w:proofErr w:type="gramStart"/>
            <w:r w:rsidR="00C702C2" w:rsidRPr="00C702C2">
              <w:t>天康</w:t>
            </w:r>
            <w:r w:rsidR="00C702C2">
              <w:t>设计</w:t>
            </w:r>
            <w:r w:rsidR="00C702C2" w:rsidRPr="00C702C2">
              <w:t>产</w:t>
            </w:r>
            <w:proofErr w:type="gramEnd"/>
            <w:r w:rsidR="00C702C2" w:rsidRPr="00C702C2">
              <w:t>能为45亿片/年</w:t>
            </w:r>
          </w:p>
          <w:p w14:paraId="4F9193BB" w14:textId="77777777" w:rsidR="001365EF" w:rsidRDefault="001365EF"/>
          <w:p w14:paraId="1EDD474D" w14:textId="7BAB9869" w:rsidR="001365EF" w:rsidRDefault="00297AA6">
            <w:r>
              <w:rPr>
                <w:rFonts w:hint="eastAsia"/>
              </w:rPr>
              <w:t>产能利用率上，</w:t>
            </w:r>
            <w:r>
              <w:t>API板块基本</w:t>
            </w:r>
            <w:r w:rsidR="0052584D">
              <w:t>饱和，</w:t>
            </w:r>
            <w:r>
              <w:t>CDMO产能利用率在60-70%左右；制剂业务上，新</w:t>
            </w:r>
            <w:proofErr w:type="gramStart"/>
            <w:r>
              <w:t>设备均满产</w:t>
            </w:r>
            <w:proofErr w:type="gramEnd"/>
            <w:r>
              <w:t>，后续会继续根据客户产品管线安排以及订单需求增加设备产线。</w:t>
            </w:r>
          </w:p>
          <w:p w14:paraId="2A050AB3" w14:textId="77777777" w:rsidR="001365EF" w:rsidRDefault="001365EF"/>
          <w:p w14:paraId="1E783192" w14:textId="77777777" w:rsidR="001365EF" w:rsidRDefault="00297AA6">
            <w:r>
              <w:t>Q：原料药、制剂、CDMO战略定位？</w:t>
            </w:r>
          </w:p>
          <w:p w14:paraId="04127EE4" w14:textId="0102F148" w:rsidR="001365EF" w:rsidRDefault="00297AA6">
            <w:r>
              <w:t>A：三个板块上，</w:t>
            </w:r>
            <w:r w:rsidR="00511DEE">
              <w:t>近几年快速发展的</w:t>
            </w:r>
            <w:r>
              <w:t>是制剂业务（包括制剂代加工和制剂自</w:t>
            </w:r>
            <w:proofErr w:type="gramStart"/>
            <w:r>
              <w:t>研</w:t>
            </w:r>
            <w:proofErr w:type="gramEnd"/>
            <w:r>
              <w:t>业务）</w:t>
            </w:r>
            <w:r w:rsidR="00511DEE">
              <w:rPr>
                <w:rFonts w:hint="eastAsia"/>
              </w:rPr>
              <w:t>A</w:t>
            </w:r>
            <w:r w:rsidR="00511DEE">
              <w:t>PI、</w:t>
            </w:r>
            <w:r w:rsidR="00511DEE">
              <w:rPr>
                <w:rFonts w:hint="eastAsia"/>
              </w:rPr>
              <w:t>C</w:t>
            </w:r>
            <w:r w:rsidR="00511DEE">
              <w:t>DMO业务</w:t>
            </w:r>
            <w:r w:rsidR="00511DEE">
              <w:rPr>
                <w:rFonts w:hint="eastAsia"/>
              </w:rPr>
              <w:t>稳中有升</w:t>
            </w:r>
            <w:r>
              <w:t>。</w:t>
            </w:r>
          </w:p>
          <w:p w14:paraId="4C602481" w14:textId="7BAA719F" w:rsidR="00511DEE" w:rsidRDefault="00297AA6" w:rsidP="00511DEE">
            <w:proofErr w:type="gramStart"/>
            <w:r>
              <w:rPr>
                <w:rFonts w:hint="eastAsia"/>
              </w:rPr>
              <w:t>自研制剂</w:t>
            </w:r>
            <w:proofErr w:type="gramEnd"/>
            <w:r>
              <w:rPr>
                <w:rFonts w:hint="eastAsia"/>
              </w:rPr>
              <w:t>：“</w:t>
            </w:r>
            <w:r>
              <w:rPr>
                <w:rFonts w:hint="eastAsia"/>
                <w:lang w:val="en-US"/>
              </w:rPr>
              <w:t>原料药</w:t>
            </w:r>
            <w:r>
              <w:rPr>
                <w:rFonts w:hint="eastAsia"/>
              </w:rPr>
              <w:t>制剂一体化”</w:t>
            </w:r>
            <w:r>
              <w:rPr>
                <w:rFonts w:hint="eastAsia"/>
                <w:lang w:val="en-US"/>
              </w:rPr>
              <w:t>具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  <w:lang w:val="en-US"/>
              </w:rPr>
              <w:t>竞争</w:t>
            </w:r>
            <w:r>
              <w:rPr>
                <w:rFonts w:hint="eastAsia"/>
              </w:rPr>
              <w:t>优势，有信心把产品打入“国采”，实现快速放量。</w:t>
            </w:r>
            <w:r w:rsidR="00511DEE">
              <w:rPr>
                <w:rFonts w:hint="eastAsia"/>
              </w:rPr>
              <w:t>制剂</w:t>
            </w:r>
            <w:r w:rsidR="00511DEE">
              <w:t>代加工</w:t>
            </w:r>
            <w:r w:rsidR="00511DEE">
              <w:rPr>
                <w:rFonts w:hint="eastAsia"/>
              </w:rPr>
              <w:t>：以大客户</w:t>
            </w:r>
            <w:r w:rsidR="00511DEE">
              <w:t>代工为主，2024年有</w:t>
            </w:r>
            <w:r w:rsidR="00511DEE">
              <w:rPr>
                <w:rFonts w:hint="eastAsia"/>
                <w:lang w:val="en-US"/>
              </w:rPr>
              <w:t>多个</w:t>
            </w:r>
            <w:r w:rsidR="00511DEE">
              <w:t>项目</w:t>
            </w:r>
            <w:r w:rsidR="00511DEE">
              <w:rPr>
                <w:rFonts w:hint="eastAsia"/>
                <w:lang w:val="en-US"/>
              </w:rPr>
              <w:t>技术</w:t>
            </w:r>
            <w:r w:rsidR="00511DEE">
              <w:t>转移，新产品</w:t>
            </w:r>
            <w:r w:rsidR="00511DEE">
              <w:rPr>
                <w:rFonts w:hint="eastAsia"/>
                <w:lang w:val="en-US"/>
              </w:rPr>
              <w:t>将</w:t>
            </w:r>
            <w:r w:rsidR="00511DEE">
              <w:t>逐渐上市。从2025年预计</w:t>
            </w:r>
            <w:r w:rsidR="00511DEE">
              <w:rPr>
                <w:rFonts w:hint="eastAsia"/>
              </w:rPr>
              <w:t>排产</w:t>
            </w:r>
            <w:r w:rsidR="00511DEE">
              <w:t>量看，制剂代加工业务有望实现可观增长。</w:t>
            </w:r>
          </w:p>
          <w:p w14:paraId="4B8FB6A7" w14:textId="77777777" w:rsidR="001365EF" w:rsidRDefault="001365EF"/>
          <w:p w14:paraId="7529C74E" w14:textId="6CBF09FF" w:rsidR="001365EF" w:rsidRDefault="00297AA6">
            <w:r>
              <w:t>CDMO：</w:t>
            </w:r>
            <w:proofErr w:type="gramStart"/>
            <w:r>
              <w:t>和默沙</w:t>
            </w:r>
            <w:proofErr w:type="gramEnd"/>
            <w:r>
              <w:t>东的业务是未来主要的增量。2024年CDMO板块以研发订单为主，2025年期待默沙东的商业化订单，</w:t>
            </w:r>
            <w:proofErr w:type="gramStart"/>
            <w:r>
              <w:t>且更多</w:t>
            </w:r>
            <w:proofErr w:type="gramEnd"/>
            <w:r>
              <w:t>项目有望导入。</w:t>
            </w:r>
          </w:p>
          <w:p w14:paraId="373BC61F" w14:textId="795D3567" w:rsidR="001365EF" w:rsidRDefault="001365EF"/>
          <w:p w14:paraId="515BD01C" w14:textId="07D6AD41" w:rsidR="001365EF" w:rsidRDefault="00297AA6">
            <w:r>
              <w:t>API：目前以产能爬坡为主，新产品持续导入，API新产品以制剂研发为导向，反向布局API管线。2024年开拓了印度、欧洲客户，提升产品竞争力。</w:t>
            </w:r>
          </w:p>
          <w:p w14:paraId="4A4B9F88" w14:textId="77777777" w:rsidR="001365EF" w:rsidRDefault="001365EF"/>
          <w:p w14:paraId="52340AAF" w14:textId="77777777" w:rsidR="001365EF" w:rsidRDefault="00297AA6">
            <w:r>
              <w:t>Q：销售团队体量？</w:t>
            </w:r>
          </w:p>
          <w:p w14:paraId="318AB317" w14:textId="77777777" w:rsidR="001365EF" w:rsidRDefault="00297AA6">
            <w:r>
              <w:t>A：公司整体销售人员体量不大，后续会有扩张安排，在OTC、线上业务进行布局。销售费用增长可控，和营收形成正比例增长。</w:t>
            </w:r>
          </w:p>
          <w:p w14:paraId="31055931" w14:textId="77777777" w:rsidR="001365EF" w:rsidRDefault="001365EF"/>
          <w:p w14:paraId="353B6C7E" w14:textId="77777777" w:rsidR="001365EF" w:rsidRDefault="00297AA6">
            <w:r>
              <w:t>Q：和华威战略合作的</w:t>
            </w:r>
            <w:proofErr w:type="gramStart"/>
            <w:r>
              <w:t>考量</w:t>
            </w:r>
            <w:proofErr w:type="gramEnd"/>
            <w:r>
              <w:t>？</w:t>
            </w:r>
          </w:p>
          <w:p w14:paraId="43BDE063" w14:textId="77777777" w:rsidR="001365EF" w:rsidRDefault="00297AA6">
            <w:r>
              <w:t>A：华威医药以研发为主，美诺华以制造为主，双方可以互补，研发和生产资源相互协同，降低研发和生产成本提高竞争力。</w:t>
            </w:r>
          </w:p>
          <w:p w14:paraId="5066D47C" w14:textId="77777777" w:rsidR="001365EF" w:rsidRDefault="001365EF"/>
          <w:p w14:paraId="13F2785C" w14:textId="77777777" w:rsidR="001365EF" w:rsidRDefault="00297AA6">
            <w:r>
              <w:t>Q：欧洲CPHI大会的情况如何，API行业状态及新签订单情况？</w:t>
            </w:r>
          </w:p>
          <w:p w14:paraId="400306AC" w14:textId="67AC52C1" w:rsidR="001365EF" w:rsidRDefault="00297AA6">
            <w:r>
              <w:t>A：</w:t>
            </w:r>
            <w:r>
              <w:rPr>
                <w:rFonts w:hint="eastAsia"/>
                <w:lang w:val="en-US"/>
              </w:rPr>
              <w:t>欧洲</w:t>
            </w:r>
            <w:r>
              <w:t>CPHI</w:t>
            </w:r>
            <w:r>
              <w:rPr>
                <w:rFonts w:hint="eastAsia"/>
                <w:lang w:val="en-US"/>
              </w:rPr>
              <w:t>公司的销售团队与客户进行了良好的沟通和推进</w:t>
            </w:r>
            <w:r>
              <w:t>。公司新签和续签订单</w:t>
            </w:r>
            <w:r>
              <w:rPr>
                <w:rFonts w:hint="eastAsia"/>
                <w:lang w:val="en-US"/>
              </w:rPr>
              <w:t>稳中向好</w:t>
            </w:r>
            <w:r>
              <w:t>，</w:t>
            </w:r>
            <w:r>
              <w:rPr>
                <w:rFonts w:hint="eastAsia"/>
                <w:lang w:val="en-US"/>
              </w:rPr>
              <w:t>碍于整体</w:t>
            </w:r>
            <w:r>
              <w:t>价格处于低位，销售额可能基本持平</w:t>
            </w:r>
            <w:r>
              <w:rPr>
                <w:rFonts w:hint="eastAsia"/>
              </w:rPr>
              <w:t>。</w:t>
            </w:r>
            <w:r>
              <w:t>从行业看，目前情况已经有了积极变化，需求回暖</w:t>
            </w:r>
            <w:r>
              <w:rPr>
                <w:rFonts w:hint="eastAsia"/>
              </w:rPr>
              <w:t>。</w:t>
            </w:r>
          </w:p>
          <w:p w14:paraId="16738A20" w14:textId="77777777" w:rsidR="001365EF" w:rsidRDefault="001365EF"/>
          <w:p w14:paraId="6986B0D5" w14:textId="77777777" w:rsidR="001365EF" w:rsidRDefault="00297AA6">
            <w:r>
              <w:t>Q：2024年公司折旧预期？</w:t>
            </w:r>
          </w:p>
          <w:p w14:paraId="6F3AD8F5" w14:textId="66DBCE93" w:rsidR="001365EF" w:rsidRDefault="00297AA6">
            <w:r>
              <w:t>A：23年</w:t>
            </w:r>
            <w:proofErr w:type="gramStart"/>
            <w:r>
              <w:t>转固折规模</w:t>
            </w:r>
            <w:proofErr w:type="gramEnd"/>
            <w:r>
              <w:t>较大，因此折旧较多；和23年相比，24年</w:t>
            </w:r>
            <w:r w:rsidR="003A3DAF" w:rsidDel="003A3DAF">
              <w:t xml:space="preserve"> </w:t>
            </w:r>
            <w:proofErr w:type="gramStart"/>
            <w:r w:rsidR="003A3DAF">
              <w:t>新增转固折旧</w:t>
            </w:r>
            <w:proofErr w:type="gramEnd"/>
            <w:r w:rsidR="003A3DAF">
              <w:t>增长幅度不大</w:t>
            </w:r>
          </w:p>
          <w:p w14:paraId="3FA21954" w14:textId="77777777" w:rsidR="001365EF" w:rsidRDefault="001365EF"/>
          <w:p w14:paraId="41E47706" w14:textId="1990D9F0" w:rsidR="001365EF" w:rsidRDefault="00297AA6" w:rsidP="009A1DAA">
            <w:pPr>
              <w:pStyle w:val="TableParagraph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>
              <w:rPr>
                <w:rFonts w:hint="eastAsia"/>
              </w:rPr>
              <w:t>总结：公司三季度业绩出现扭转，主要</w:t>
            </w:r>
            <w:r>
              <w:rPr>
                <w:rFonts w:hint="eastAsia"/>
                <w:lang w:val="en-US"/>
              </w:rPr>
              <w:t>原因为</w:t>
            </w:r>
            <w:r w:rsidR="00511DEE">
              <w:rPr>
                <w:rFonts w:hint="eastAsia"/>
                <w:lang w:val="en-US"/>
              </w:rPr>
              <w:t>制剂</w:t>
            </w:r>
            <w:r w:rsidR="00511DEE">
              <w:rPr>
                <w:rFonts w:hint="eastAsia"/>
              </w:rPr>
              <w:t>业务板块</w:t>
            </w:r>
            <w:r>
              <w:rPr>
                <w:rFonts w:hint="eastAsia"/>
              </w:rPr>
              <w:t>放量</w:t>
            </w:r>
            <w:r w:rsidR="00511DEE">
              <w:rPr>
                <w:rFonts w:hint="eastAsia"/>
              </w:rPr>
              <w:t>，A</w:t>
            </w:r>
            <w:r w:rsidR="00511DEE">
              <w:t>PI、</w:t>
            </w:r>
            <w:r w:rsidR="00511DEE">
              <w:rPr>
                <w:rFonts w:hint="eastAsia"/>
              </w:rPr>
              <w:t>C</w:t>
            </w:r>
            <w:r w:rsidR="00511DEE">
              <w:t>DMO业务逐步</w:t>
            </w:r>
            <w:r w:rsidR="00511DEE">
              <w:rPr>
                <w:rFonts w:hint="eastAsia"/>
              </w:rPr>
              <w:t>企稳回升</w:t>
            </w:r>
            <w:r>
              <w:rPr>
                <w:rFonts w:hint="eastAsia"/>
              </w:rPr>
              <w:t>。我们有信心延续这一好趋势，未来在营收和利润上实现更好的增长，</w:t>
            </w:r>
            <w:r>
              <w:rPr>
                <w:rFonts w:hint="eastAsia"/>
                <w:lang w:val="en-US"/>
              </w:rPr>
              <w:t>回报投资者</w:t>
            </w:r>
            <w:r>
              <w:rPr>
                <w:rFonts w:hint="eastAsia"/>
              </w:rPr>
              <w:t>。</w:t>
            </w:r>
          </w:p>
        </w:tc>
      </w:tr>
      <w:tr w:rsidR="001365EF" w14:paraId="404D731D" w14:textId="77777777">
        <w:trPr>
          <w:trHeight w:val="558"/>
          <w:jc w:val="center"/>
        </w:trPr>
        <w:tc>
          <w:tcPr>
            <w:tcW w:w="2377" w:type="dxa"/>
            <w:vAlign w:val="center"/>
          </w:tcPr>
          <w:p w14:paraId="7542444A" w14:textId="77777777" w:rsidR="001365EF" w:rsidRDefault="00297AA6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6148" w:type="dxa"/>
            <w:vAlign w:val="center"/>
          </w:tcPr>
          <w:p w14:paraId="0A42D0B5" w14:textId="77777777" w:rsidR="001365EF" w:rsidRDefault="00297AA6">
            <w:pPr>
              <w:pStyle w:val="TableParagrap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2024年</w:t>
            </w: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</w:tbl>
    <w:p w14:paraId="764604AF" w14:textId="77777777" w:rsidR="001365EF" w:rsidRDefault="001365EF">
      <w:pPr>
        <w:rPr>
          <w:rFonts w:ascii="宋体" w:eastAsia="宋体" w:hAnsi="宋体" w:cs="宋体"/>
        </w:rPr>
      </w:pPr>
    </w:p>
    <w:sectPr w:rsidR="001365EF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E135E3" w15:done="0"/>
  <w15:commentEx w15:paraId="4F1BA9E2" w15:done="0"/>
  <w15:commentEx w15:paraId="337B5B9A" w15:done="0"/>
  <w15:commentEx w15:paraId="78C8BA9E" w15:done="0"/>
  <w15:commentEx w15:paraId="2F2C5235" w15:done="0"/>
  <w15:commentEx w15:paraId="62418E1D" w15:done="0"/>
  <w15:commentEx w15:paraId="1D343441" w15:done="0"/>
  <w15:commentEx w15:paraId="5EAF73D9" w15:done="0"/>
  <w15:commentEx w15:paraId="6FEE32E9" w15:paraIdParent="5EAF73D9" w15:done="0"/>
  <w15:commentEx w15:paraId="5CD010E5" w15:done="0"/>
  <w15:commentEx w15:paraId="0E54063A" w15:paraIdParent="5CD010E5" w15:done="0"/>
  <w15:commentEx w15:paraId="57F63875" w15:done="0"/>
  <w15:commentEx w15:paraId="75015A8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D2B68" w14:textId="77777777" w:rsidR="00FE7593" w:rsidRDefault="00FE7593" w:rsidP="00365400">
      <w:r>
        <w:separator/>
      </w:r>
    </w:p>
  </w:endnote>
  <w:endnote w:type="continuationSeparator" w:id="0">
    <w:p w14:paraId="5FA50216" w14:textId="77777777" w:rsidR="00FE7593" w:rsidRDefault="00FE7593" w:rsidP="0036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516E3" w14:textId="77777777" w:rsidR="00FE7593" w:rsidRDefault="00FE7593" w:rsidP="00365400">
      <w:r>
        <w:separator/>
      </w:r>
    </w:p>
  </w:footnote>
  <w:footnote w:type="continuationSeparator" w:id="0">
    <w:p w14:paraId="0D484DF0" w14:textId="77777777" w:rsidR="00FE7593" w:rsidRDefault="00FE7593" w:rsidP="0036540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温霖炜">
    <w15:presenceInfo w15:providerId="None" w15:userId="温霖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MjU3OTViMDkyODcwYWUwZTlmMmU5OGRhNWQxNDYifQ=="/>
  </w:docVars>
  <w:rsids>
    <w:rsidRoot w:val="0031346F"/>
    <w:rsid w:val="00021E44"/>
    <w:rsid w:val="00024A48"/>
    <w:rsid w:val="00035520"/>
    <w:rsid w:val="00035A3D"/>
    <w:rsid w:val="00044D79"/>
    <w:rsid w:val="0004540C"/>
    <w:rsid w:val="0005545B"/>
    <w:rsid w:val="000606F6"/>
    <w:rsid w:val="000A7D1E"/>
    <w:rsid w:val="000C23F7"/>
    <w:rsid w:val="000E2550"/>
    <w:rsid w:val="00110B1D"/>
    <w:rsid w:val="00110C80"/>
    <w:rsid w:val="00131477"/>
    <w:rsid w:val="001365EF"/>
    <w:rsid w:val="0014331E"/>
    <w:rsid w:val="00150ECD"/>
    <w:rsid w:val="00162919"/>
    <w:rsid w:val="00165BF0"/>
    <w:rsid w:val="00170CFE"/>
    <w:rsid w:val="00175E91"/>
    <w:rsid w:val="00182C2D"/>
    <w:rsid w:val="001C0673"/>
    <w:rsid w:val="00205BE9"/>
    <w:rsid w:val="0021298F"/>
    <w:rsid w:val="002154C3"/>
    <w:rsid w:val="00265049"/>
    <w:rsid w:val="0027003E"/>
    <w:rsid w:val="0027331D"/>
    <w:rsid w:val="00277C97"/>
    <w:rsid w:val="002832BB"/>
    <w:rsid w:val="00284717"/>
    <w:rsid w:val="00296238"/>
    <w:rsid w:val="00297AA6"/>
    <w:rsid w:val="002A42A8"/>
    <w:rsid w:val="002F2B11"/>
    <w:rsid w:val="002F6CD7"/>
    <w:rsid w:val="0031346F"/>
    <w:rsid w:val="003570E5"/>
    <w:rsid w:val="00365400"/>
    <w:rsid w:val="003878B1"/>
    <w:rsid w:val="00392089"/>
    <w:rsid w:val="003A3DAF"/>
    <w:rsid w:val="003B6913"/>
    <w:rsid w:val="003F549E"/>
    <w:rsid w:val="004007CE"/>
    <w:rsid w:val="004914BC"/>
    <w:rsid w:val="0049680C"/>
    <w:rsid w:val="004B6E10"/>
    <w:rsid w:val="004E410A"/>
    <w:rsid w:val="004E6510"/>
    <w:rsid w:val="00511DEE"/>
    <w:rsid w:val="0052584D"/>
    <w:rsid w:val="005308DC"/>
    <w:rsid w:val="00535545"/>
    <w:rsid w:val="005504DE"/>
    <w:rsid w:val="0055222D"/>
    <w:rsid w:val="005A6A43"/>
    <w:rsid w:val="005C0DB7"/>
    <w:rsid w:val="006048B7"/>
    <w:rsid w:val="006052D7"/>
    <w:rsid w:val="006141B2"/>
    <w:rsid w:val="00620F73"/>
    <w:rsid w:val="00645B02"/>
    <w:rsid w:val="00656D60"/>
    <w:rsid w:val="00671DCA"/>
    <w:rsid w:val="00683E97"/>
    <w:rsid w:val="006A7835"/>
    <w:rsid w:val="006C0A3D"/>
    <w:rsid w:val="006C7F70"/>
    <w:rsid w:val="006D5DF7"/>
    <w:rsid w:val="006E7D54"/>
    <w:rsid w:val="00714E15"/>
    <w:rsid w:val="007174F3"/>
    <w:rsid w:val="00726445"/>
    <w:rsid w:val="00743ECC"/>
    <w:rsid w:val="0075531C"/>
    <w:rsid w:val="00756764"/>
    <w:rsid w:val="00764FB0"/>
    <w:rsid w:val="007B723B"/>
    <w:rsid w:val="007F32F4"/>
    <w:rsid w:val="00805780"/>
    <w:rsid w:val="008070FF"/>
    <w:rsid w:val="00824C86"/>
    <w:rsid w:val="00830B23"/>
    <w:rsid w:val="0083454B"/>
    <w:rsid w:val="008419A0"/>
    <w:rsid w:val="00854AE9"/>
    <w:rsid w:val="008579C6"/>
    <w:rsid w:val="0087133F"/>
    <w:rsid w:val="00880F6B"/>
    <w:rsid w:val="008817AA"/>
    <w:rsid w:val="008850E5"/>
    <w:rsid w:val="008B516D"/>
    <w:rsid w:val="008C562F"/>
    <w:rsid w:val="008C7262"/>
    <w:rsid w:val="008D19DF"/>
    <w:rsid w:val="008E276D"/>
    <w:rsid w:val="009038EB"/>
    <w:rsid w:val="00910ED7"/>
    <w:rsid w:val="009463F4"/>
    <w:rsid w:val="00967660"/>
    <w:rsid w:val="00987094"/>
    <w:rsid w:val="009A1DAA"/>
    <w:rsid w:val="009A746D"/>
    <w:rsid w:val="009E21EA"/>
    <w:rsid w:val="009E7B2A"/>
    <w:rsid w:val="009F6054"/>
    <w:rsid w:val="00A01F63"/>
    <w:rsid w:val="00A55AD4"/>
    <w:rsid w:val="00A6261B"/>
    <w:rsid w:val="00AA38BC"/>
    <w:rsid w:val="00AE5EFD"/>
    <w:rsid w:val="00B052C6"/>
    <w:rsid w:val="00B1797B"/>
    <w:rsid w:val="00B210B0"/>
    <w:rsid w:val="00B258AE"/>
    <w:rsid w:val="00B45419"/>
    <w:rsid w:val="00B548BB"/>
    <w:rsid w:val="00B65F74"/>
    <w:rsid w:val="00B80229"/>
    <w:rsid w:val="00B810BA"/>
    <w:rsid w:val="00BC4BF6"/>
    <w:rsid w:val="00C16330"/>
    <w:rsid w:val="00C4038C"/>
    <w:rsid w:val="00C52EA8"/>
    <w:rsid w:val="00C64633"/>
    <w:rsid w:val="00C677D7"/>
    <w:rsid w:val="00C702C2"/>
    <w:rsid w:val="00C76B07"/>
    <w:rsid w:val="00C77717"/>
    <w:rsid w:val="00C84F04"/>
    <w:rsid w:val="00C85481"/>
    <w:rsid w:val="00CB6EFA"/>
    <w:rsid w:val="00CC19A7"/>
    <w:rsid w:val="00CD0188"/>
    <w:rsid w:val="00CD403F"/>
    <w:rsid w:val="00CD7A66"/>
    <w:rsid w:val="00CF4A2A"/>
    <w:rsid w:val="00D12B62"/>
    <w:rsid w:val="00D26922"/>
    <w:rsid w:val="00D276D0"/>
    <w:rsid w:val="00D47522"/>
    <w:rsid w:val="00D54DA9"/>
    <w:rsid w:val="00D60766"/>
    <w:rsid w:val="00D73704"/>
    <w:rsid w:val="00D818D5"/>
    <w:rsid w:val="00D843C1"/>
    <w:rsid w:val="00DB6FCD"/>
    <w:rsid w:val="00DC07B2"/>
    <w:rsid w:val="00DC1D42"/>
    <w:rsid w:val="00DC502B"/>
    <w:rsid w:val="00DD0FE8"/>
    <w:rsid w:val="00DD17A5"/>
    <w:rsid w:val="00DF2EF8"/>
    <w:rsid w:val="00E24A8A"/>
    <w:rsid w:val="00E52109"/>
    <w:rsid w:val="00E55950"/>
    <w:rsid w:val="00E601D0"/>
    <w:rsid w:val="00E84A45"/>
    <w:rsid w:val="00EA4095"/>
    <w:rsid w:val="00F251FD"/>
    <w:rsid w:val="00F42864"/>
    <w:rsid w:val="00F430BD"/>
    <w:rsid w:val="00F54B73"/>
    <w:rsid w:val="00FE0730"/>
    <w:rsid w:val="00FE7593"/>
    <w:rsid w:val="00FF6EAF"/>
    <w:rsid w:val="09186774"/>
    <w:rsid w:val="12070CAE"/>
    <w:rsid w:val="3C3D74A2"/>
    <w:rsid w:val="49B45578"/>
    <w:rsid w:val="73436F43"/>
    <w:rsid w:val="7D580A83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0">
    <w:name w:val="批注框文本 Char"/>
    <w:basedOn w:val="a0"/>
    <w:link w:val="a5"/>
    <w:semiHidden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8">
    <w:name w:val="annotation reference"/>
    <w:basedOn w:val="a0"/>
    <w:semiHidden/>
    <w:unhideWhenUsed/>
    <w:rPr>
      <w:sz w:val="21"/>
      <w:szCs w:val="21"/>
    </w:rPr>
  </w:style>
  <w:style w:type="paragraph" w:styleId="a9">
    <w:name w:val="annotation subject"/>
    <w:basedOn w:val="a3"/>
    <w:next w:val="a3"/>
    <w:link w:val="Char3"/>
    <w:semiHidden/>
    <w:unhideWhenUsed/>
    <w:rsid w:val="00365400"/>
    <w:rPr>
      <w:b/>
      <w:bCs/>
    </w:rPr>
  </w:style>
  <w:style w:type="character" w:customStyle="1" w:styleId="Char">
    <w:name w:val="批注文字 Char"/>
    <w:basedOn w:val="a0"/>
    <w:link w:val="a3"/>
    <w:semiHidden/>
    <w:rsid w:val="00365400"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9"/>
    <w:semiHidden/>
    <w:rsid w:val="00365400"/>
    <w:rPr>
      <w:rFonts w:ascii="仿宋" w:eastAsia="仿宋" w:hAnsi="仿宋" w:cs="仿宋"/>
      <w:b/>
      <w:bCs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0">
    <w:name w:val="批注框文本 Char"/>
    <w:basedOn w:val="a0"/>
    <w:link w:val="a5"/>
    <w:semiHidden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8">
    <w:name w:val="annotation reference"/>
    <w:basedOn w:val="a0"/>
    <w:semiHidden/>
    <w:unhideWhenUsed/>
    <w:rPr>
      <w:sz w:val="21"/>
      <w:szCs w:val="21"/>
    </w:rPr>
  </w:style>
  <w:style w:type="paragraph" w:styleId="a9">
    <w:name w:val="annotation subject"/>
    <w:basedOn w:val="a3"/>
    <w:next w:val="a3"/>
    <w:link w:val="Char3"/>
    <w:semiHidden/>
    <w:unhideWhenUsed/>
    <w:rsid w:val="00365400"/>
    <w:rPr>
      <w:b/>
      <w:bCs/>
    </w:rPr>
  </w:style>
  <w:style w:type="character" w:customStyle="1" w:styleId="Char">
    <w:name w:val="批注文字 Char"/>
    <w:basedOn w:val="a0"/>
    <w:link w:val="a3"/>
    <w:semiHidden/>
    <w:rsid w:val="00365400"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9"/>
    <w:semiHidden/>
    <w:rsid w:val="00365400"/>
    <w:rPr>
      <w:rFonts w:ascii="仿宋" w:eastAsia="仿宋" w:hAnsi="仿宋" w:cs="仿宋"/>
      <w:b/>
      <w:bCs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menovo</dc:creator>
  <cp:lastModifiedBy>HUAWEI</cp:lastModifiedBy>
  <cp:revision>4</cp:revision>
  <cp:lastPrinted>2023-04-06T02:45:00Z</cp:lastPrinted>
  <dcterms:created xsi:type="dcterms:W3CDTF">2024-10-31T08:19:00Z</dcterms:created>
  <dcterms:modified xsi:type="dcterms:W3CDTF">2024-10-31T08:57:00Z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FB15D259AD704A68AD1DB02955661971_13</vt:lpwstr>
  </property>
</Properties>
</file>