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BA5B" w14:textId="43CDE64E" w:rsidR="00BB6E0B" w:rsidRPr="0060354D" w:rsidRDefault="00BB6E0B">
      <w:pPr>
        <w:rPr>
          <w:rFonts w:ascii="Times New Roman" w:eastAsia="宋体" w:hAnsi="Times New Roman" w:cs="Times New Roman"/>
          <w:sz w:val="24"/>
          <w:szCs w:val="24"/>
        </w:rPr>
      </w:pPr>
      <w:r w:rsidRPr="0060354D">
        <w:rPr>
          <w:rFonts w:ascii="Times New Roman" w:eastAsia="宋体" w:hAnsi="Times New Roman" w:cs="Times New Roman"/>
          <w:sz w:val="24"/>
          <w:szCs w:val="24"/>
        </w:rPr>
        <w:t>证券代码：</w:t>
      </w:r>
      <w:r w:rsidRPr="0060354D">
        <w:rPr>
          <w:rFonts w:ascii="Times New Roman" w:eastAsia="宋体" w:hAnsi="Times New Roman" w:cs="Times New Roman"/>
          <w:sz w:val="24"/>
          <w:szCs w:val="24"/>
        </w:rPr>
        <w:t xml:space="preserve">603170     </w:t>
      </w:r>
      <w:r w:rsidR="001474C6" w:rsidRPr="0060354D">
        <w:rPr>
          <w:rFonts w:ascii="Times New Roman" w:eastAsia="宋体" w:hAnsi="Times New Roman" w:cs="Times New Roman"/>
          <w:sz w:val="24"/>
          <w:szCs w:val="24"/>
        </w:rPr>
        <w:t xml:space="preserve">                          </w:t>
      </w:r>
      <w:r w:rsidRPr="0060354D">
        <w:rPr>
          <w:rFonts w:ascii="Times New Roman" w:eastAsia="宋体" w:hAnsi="Times New Roman" w:cs="Times New Roman"/>
          <w:sz w:val="24"/>
          <w:szCs w:val="24"/>
        </w:rPr>
        <w:t xml:space="preserve">   </w:t>
      </w:r>
      <w:r w:rsidR="002E025C" w:rsidRPr="0060354D">
        <w:rPr>
          <w:rFonts w:ascii="Times New Roman" w:eastAsia="宋体" w:hAnsi="Times New Roman" w:cs="Times New Roman"/>
          <w:sz w:val="24"/>
          <w:szCs w:val="24"/>
        </w:rPr>
        <w:t xml:space="preserve"> </w:t>
      </w:r>
      <w:r w:rsidRPr="0060354D">
        <w:rPr>
          <w:rFonts w:ascii="Times New Roman" w:eastAsia="宋体" w:hAnsi="Times New Roman" w:cs="Times New Roman"/>
          <w:sz w:val="24"/>
          <w:szCs w:val="24"/>
        </w:rPr>
        <w:t>证券简称：宝立食品</w:t>
      </w:r>
      <w:r w:rsidRPr="0060354D">
        <w:rPr>
          <w:rFonts w:ascii="Times New Roman" w:eastAsia="宋体" w:hAnsi="Times New Roman" w:cs="Times New Roman"/>
          <w:sz w:val="24"/>
          <w:szCs w:val="24"/>
        </w:rPr>
        <w:t xml:space="preserve">  </w:t>
      </w:r>
    </w:p>
    <w:p w14:paraId="4AEEDB67" w14:textId="77777777" w:rsidR="00BB6E0B" w:rsidRPr="0060354D" w:rsidRDefault="00BB6E0B">
      <w:pPr>
        <w:rPr>
          <w:rFonts w:ascii="Times New Roman" w:eastAsia="宋体" w:hAnsi="Times New Roman" w:cs="Times New Roman"/>
        </w:rPr>
      </w:pPr>
    </w:p>
    <w:p w14:paraId="58DFB24D" w14:textId="77777777" w:rsidR="00BB6E0B" w:rsidRPr="0060354D" w:rsidRDefault="00BB6E0B" w:rsidP="00BB6E0B">
      <w:pPr>
        <w:jc w:val="center"/>
        <w:rPr>
          <w:rFonts w:ascii="Times New Roman" w:eastAsia="宋体" w:hAnsi="Times New Roman" w:cs="Times New Roman"/>
          <w:b/>
          <w:bCs/>
          <w:sz w:val="30"/>
          <w:szCs w:val="30"/>
        </w:rPr>
      </w:pPr>
      <w:r w:rsidRPr="0060354D">
        <w:rPr>
          <w:rFonts w:ascii="Times New Roman" w:eastAsia="宋体" w:hAnsi="Times New Roman" w:cs="Times New Roman"/>
          <w:b/>
          <w:bCs/>
          <w:sz w:val="30"/>
          <w:szCs w:val="30"/>
        </w:rPr>
        <w:t>上海宝立食品科技股份有限公司</w:t>
      </w:r>
    </w:p>
    <w:p w14:paraId="2F8F6688" w14:textId="77777777" w:rsidR="00BB6E0B" w:rsidRPr="0060354D" w:rsidRDefault="00BB6E0B" w:rsidP="00BB6E0B">
      <w:pPr>
        <w:jc w:val="center"/>
        <w:rPr>
          <w:rFonts w:ascii="Times New Roman" w:eastAsia="宋体" w:hAnsi="Times New Roman" w:cs="Times New Roman"/>
          <w:b/>
          <w:bCs/>
          <w:sz w:val="30"/>
          <w:szCs w:val="30"/>
        </w:rPr>
      </w:pPr>
      <w:r w:rsidRPr="0060354D">
        <w:rPr>
          <w:rFonts w:ascii="Times New Roman" w:eastAsia="宋体" w:hAnsi="Times New Roman" w:cs="Times New Roman"/>
          <w:b/>
          <w:bCs/>
          <w:sz w:val="30"/>
          <w:szCs w:val="30"/>
        </w:rPr>
        <w:t>投资者关系活动记录表</w:t>
      </w:r>
    </w:p>
    <w:p w14:paraId="07C8E065" w14:textId="2AFBC2AF" w:rsidR="00BB6E0B" w:rsidRPr="0060354D" w:rsidRDefault="00BB6E0B" w:rsidP="00BB6E0B">
      <w:pPr>
        <w:jc w:val="right"/>
        <w:rPr>
          <w:rFonts w:ascii="Times New Roman" w:eastAsia="宋体" w:hAnsi="Times New Roman" w:cs="Times New Roman"/>
        </w:rPr>
      </w:pPr>
      <w:r w:rsidRPr="0060354D">
        <w:rPr>
          <w:rFonts w:ascii="Times New Roman" w:eastAsia="宋体" w:hAnsi="Times New Roman" w:cs="Times New Roman"/>
        </w:rPr>
        <w:t>编号：</w:t>
      </w:r>
      <w:r w:rsidRPr="0060354D">
        <w:rPr>
          <w:rFonts w:ascii="Times New Roman" w:eastAsia="宋体" w:hAnsi="Times New Roman" w:cs="Times New Roman"/>
        </w:rPr>
        <w:t>202</w:t>
      </w:r>
      <w:r w:rsidR="007C0DF4" w:rsidRPr="0060354D">
        <w:rPr>
          <w:rFonts w:ascii="Times New Roman" w:eastAsia="宋体" w:hAnsi="Times New Roman" w:cs="Times New Roman"/>
        </w:rPr>
        <w:t>4</w:t>
      </w:r>
      <w:r w:rsidRPr="0060354D">
        <w:rPr>
          <w:rFonts w:ascii="Times New Roman" w:eastAsia="宋体" w:hAnsi="Times New Roman" w:cs="Times New Roman"/>
        </w:rPr>
        <w:t>-0</w:t>
      </w:r>
      <w:r w:rsidR="007A555F">
        <w:rPr>
          <w:rFonts w:ascii="Times New Roman" w:eastAsia="宋体" w:hAnsi="Times New Roman" w:cs="Times New Roman"/>
        </w:rPr>
        <w:t>5</w:t>
      </w:r>
      <w:r w:rsidRPr="0060354D">
        <w:rPr>
          <w:rFonts w:ascii="Times New Roman" w:eastAsia="宋体" w:hAnsi="Times New Roman" w:cs="Times New Roman"/>
        </w:rPr>
        <w:t xml:space="preserve">    </w:t>
      </w:r>
    </w:p>
    <w:tbl>
      <w:tblPr>
        <w:tblStyle w:val="a3"/>
        <w:tblW w:w="8370" w:type="dxa"/>
        <w:tblLook w:val="04A0" w:firstRow="1" w:lastRow="0" w:firstColumn="1" w:lastColumn="0" w:noHBand="0" w:noVBand="1"/>
      </w:tblPr>
      <w:tblGrid>
        <w:gridCol w:w="1980"/>
        <w:gridCol w:w="6390"/>
      </w:tblGrid>
      <w:tr w:rsidR="00BB6E0B" w:rsidRPr="0060354D" w14:paraId="2B01903C" w14:textId="77777777" w:rsidTr="00F41325">
        <w:trPr>
          <w:trHeight w:val="2898"/>
        </w:trPr>
        <w:tc>
          <w:tcPr>
            <w:tcW w:w="1980" w:type="dxa"/>
            <w:vAlign w:val="center"/>
          </w:tcPr>
          <w:p w14:paraId="5CE14BD9" w14:textId="77777777" w:rsidR="00BB6E0B" w:rsidRPr="0060354D" w:rsidRDefault="00BB6E0B"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投资者关系</w:t>
            </w:r>
          </w:p>
          <w:p w14:paraId="45710454" w14:textId="4A27ACE2" w:rsidR="00BB6E0B" w:rsidRPr="0060354D" w:rsidRDefault="00BB6E0B"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活动类别</w:t>
            </w:r>
          </w:p>
        </w:tc>
        <w:tc>
          <w:tcPr>
            <w:tcW w:w="6390" w:type="dxa"/>
            <w:vAlign w:val="center"/>
          </w:tcPr>
          <w:p w14:paraId="6D88572B" w14:textId="1E951687" w:rsidR="00BB6E0B" w:rsidRPr="0060354D" w:rsidRDefault="003F0130" w:rsidP="00B71D47">
            <w:pPr>
              <w:spacing w:line="360" w:lineRule="auto"/>
              <w:rPr>
                <w:rFonts w:ascii="Times New Roman" w:eastAsia="宋体" w:hAnsi="Times New Roman" w:cs="Times New Roman"/>
              </w:rPr>
            </w:pPr>
            <w:r w:rsidRPr="0060354D">
              <w:rPr>
                <w:rFonts w:ascii="Times New Roman" w:eastAsia="宋体" w:hAnsi="Times New Roman" w:cs="Times New Roman"/>
              </w:rPr>
              <w:sym w:font="Wingdings" w:char="F06F"/>
            </w:r>
            <w:r w:rsidR="00BB6E0B" w:rsidRPr="0060354D">
              <w:rPr>
                <w:rFonts w:ascii="Times New Roman" w:eastAsia="宋体" w:hAnsi="Times New Roman" w:cs="Times New Roman"/>
              </w:rPr>
              <w:t>特定对象调研</w:t>
            </w:r>
            <w:r w:rsidR="008743D6" w:rsidRPr="0060354D">
              <w:rPr>
                <w:rFonts w:ascii="Times New Roman" w:eastAsia="宋体" w:hAnsi="Times New Roman" w:cs="Times New Roman"/>
              </w:rPr>
              <w:t xml:space="preserve">           </w:t>
            </w:r>
            <w:r w:rsidRPr="0060354D">
              <w:rPr>
                <w:rFonts w:ascii="Times New Roman" w:eastAsia="宋体" w:hAnsi="Times New Roman" w:cs="Times New Roman"/>
              </w:rPr>
              <w:sym w:font="Wingdings" w:char="F06F"/>
            </w:r>
            <w:r w:rsidR="008743D6" w:rsidRPr="0060354D">
              <w:rPr>
                <w:rFonts w:ascii="Times New Roman" w:eastAsia="宋体" w:hAnsi="Times New Roman" w:cs="Times New Roman"/>
              </w:rPr>
              <w:t>分析师会议</w:t>
            </w:r>
          </w:p>
          <w:p w14:paraId="26A3B193" w14:textId="024B2849" w:rsidR="00BB6E0B" w:rsidRPr="0060354D" w:rsidRDefault="00BB6E0B" w:rsidP="00B71D47">
            <w:pPr>
              <w:spacing w:line="360" w:lineRule="auto"/>
              <w:rPr>
                <w:rFonts w:ascii="Times New Roman" w:eastAsia="宋体" w:hAnsi="Times New Roman" w:cs="Times New Roman"/>
              </w:rPr>
            </w:pPr>
            <w:r w:rsidRPr="0060354D">
              <w:rPr>
                <w:rFonts w:ascii="Times New Roman" w:eastAsia="宋体" w:hAnsi="Times New Roman" w:cs="Times New Roman"/>
              </w:rPr>
              <w:sym w:font="Wingdings" w:char="F06F"/>
            </w:r>
            <w:r w:rsidRPr="0060354D">
              <w:rPr>
                <w:rFonts w:ascii="Times New Roman" w:eastAsia="宋体" w:hAnsi="Times New Roman" w:cs="Times New Roman"/>
              </w:rPr>
              <w:t>媒体采访</w:t>
            </w:r>
            <w:r w:rsidR="008743D6" w:rsidRPr="0060354D">
              <w:rPr>
                <w:rFonts w:ascii="Times New Roman" w:eastAsia="宋体" w:hAnsi="Times New Roman" w:cs="Times New Roman"/>
              </w:rPr>
              <w:t xml:space="preserve">             </w:t>
            </w:r>
            <w:r w:rsidR="00F57441" w:rsidRPr="0060354D">
              <w:rPr>
                <w:rFonts w:ascii="Times New Roman" w:eastAsia="宋体" w:hAnsi="Times New Roman" w:cs="Times New Roman"/>
              </w:rPr>
              <w:t xml:space="preserve"> </w:t>
            </w:r>
            <w:r w:rsidR="008743D6" w:rsidRPr="0060354D">
              <w:rPr>
                <w:rFonts w:ascii="Times New Roman" w:eastAsia="宋体" w:hAnsi="Times New Roman" w:cs="Times New Roman"/>
              </w:rPr>
              <w:t xml:space="preserve"> </w:t>
            </w:r>
            <w:r w:rsidR="003F0130" w:rsidRPr="0060354D">
              <w:rPr>
                <w:rFonts w:ascii="Times New Roman" w:eastAsia="宋体" w:hAnsi="Times New Roman" w:cs="Times New Roman"/>
              </w:rPr>
              <w:sym w:font="Wingdings" w:char="F0FE"/>
            </w:r>
            <w:r w:rsidR="008743D6" w:rsidRPr="0060354D">
              <w:rPr>
                <w:rFonts w:ascii="Times New Roman" w:eastAsia="宋体" w:hAnsi="Times New Roman" w:cs="Times New Roman"/>
              </w:rPr>
              <w:t>业绩说明会</w:t>
            </w:r>
          </w:p>
          <w:p w14:paraId="15083E3F" w14:textId="2F101F85" w:rsidR="008743D6" w:rsidRPr="0060354D" w:rsidRDefault="008743D6" w:rsidP="00B71D47">
            <w:pPr>
              <w:spacing w:line="360" w:lineRule="auto"/>
              <w:rPr>
                <w:rFonts w:ascii="Times New Roman" w:eastAsia="宋体" w:hAnsi="Times New Roman" w:cs="Times New Roman"/>
              </w:rPr>
            </w:pPr>
            <w:r w:rsidRPr="0060354D">
              <w:rPr>
                <w:rFonts w:ascii="Times New Roman" w:eastAsia="宋体" w:hAnsi="Times New Roman" w:cs="Times New Roman"/>
              </w:rPr>
              <w:sym w:font="Wingdings" w:char="F06F"/>
            </w:r>
            <w:r w:rsidRPr="0060354D">
              <w:rPr>
                <w:rFonts w:ascii="Times New Roman" w:eastAsia="宋体" w:hAnsi="Times New Roman" w:cs="Times New Roman"/>
              </w:rPr>
              <w:t>新闻发布会</w:t>
            </w:r>
            <w:r w:rsidRPr="0060354D">
              <w:rPr>
                <w:rFonts w:ascii="Times New Roman" w:eastAsia="宋体" w:hAnsi="Times New Roman" w:cs="Times New Roman"/>
              </w:rPr>
              <w:t xml:space="preserve">             </w:t>
            </w:r>
            <w:r w:rsidRPr="0060354D">
              <w:rPr>
                <w:rFonts w:ascii="Times New Roman" w:eastAsia="宋体" w:hAnsi="Times New Roman" w:cs="Times New Roman"/>
              </w:rPr>
              <w:sym w:font="Wingdings" w:char="F06F"/>
            </w:r>
            <w:r w:rsidRPr="0060354D">
              <w:rPr>
                <w:rFonts w:ascii="Times New Roman" w:eastAsia="宋体" w:hAnsi="Times New Roman" w:cs="Times New Roman"/>
              </w:rPr>
              <w:t>路演活动</w:t>
            </w:r>
          </w:p>
          <w:p w14:paraId="7848AE8E" w14:textId="7CFF7AF6" w:rsidR="008743D6" w:rsidRPr="0060354D" w:rsidRDefault="00130301" w:rsidP="00B71D47">
            <w:pPr>
              <w:spacing w:line="360" w:lineRule="auto"/>
              <w:rPr>
                <w:rFonts w:ascii="Times New Roman" w:eastAsia="宋体" w:hAnsi="Times New Roman" w:cs="Times New Roman"/>
              </w:rPr>
            </w:pPr>
            <w:r w:rsidRPr="0060354D">
              <w:rPr>
                <w:rFonts w:ascii="Times New Roman" w:eastAsia="宋体" w:hAnsi="Times New Roman" w:cs="Times New Roman"/>
              </w:rPr>
              <w:sym w:font="Wingdings" w:char="F06F"/>
            </w:r>
            <w:r w:rsidR="008743D6" w:rsidRPr="0060354D">
              <w:rPr>
                <w:rFonts w:ascii="Times New Roman" w:eastAsia="宋体" w:hAnsi="Times New Roman" w:cs="Times New Roman"/>
              </w:rPr>
              <w:t>现场参观</w:t>
            </w:r>
            <w:r w:rsidR="008743D6" w:rsidRPr="0060354D">
              <w:rPr>
                <w:rFonts w:ascii="Times New Roman" w:eastAsia="宋体" w:hAnsi="Times New Roman" w:cs="Times New Roman"/>
              </w:rPr>
              <w:t xml:space="preserve">               </w:t>
            </w:r>
            <w:r w:rsidR="007A555F" w:rsidRPr="0060354D">
              <w:rPr>
                <w:rFonts w:ascii="Times New Roman" w:eastAsia="宋体" w:hAnsi="Times New Roman" w:cs="Times New Roman"/>
              </w:rPr>
              <w:sym w:font="Wingdings" w:char="F0FE"/>
            </w:r>
            <w:r w:rsidR="008743D6" w:rsidRPr="0060354D">
              <w:rPr>
                <w:rFonts w:ascii="Times New Roman" w:eastAsia="宋体" w:hAnsi="Times New Roman" w:cs="Times New Roman"/>
              </w:rPr>
              <w:t>电话会议</w:t>
            </w:r>
          </w:p>
          <w:p w14:paraId="1BBFE003" w14:textId="3D85D426" w:rsidR="00BB6E0B" w:rsidRPr="0060354D" w:rsidRDefault="008743D6" w:rsidP="00B71D47">
            <w:pPr>
              <w:spacing w:line="360" w:lineRule="auto"/>
              <w:rPr>
                <w:rFonts w:ascii="Times New Roman" w:eastAsia="宋体" w:hAnsi="Times New Roman" w:cs="Times New Roman"/>
                <w:u w:val="single"/>
              </w:rPr>
            </w:pPr>
            <w:r w:rsidRPr="0060354D">
              <w:rPr>
                <w:rFonts w:ascii="Times New Roman" w:eastAsia="宋体" w:hAnsi="Times New Roman" w:cs="Times New Roman"/>
              </w:rPr>
              <w:sym w:font="Wingdings" w:char="F06F"/>
            </w:r>
            <w:r w:rsidRPr="0060354D">
              <w:rPr>
                <w:rFonts w:ascii="Times New Roman" w:eastAsia="宋体" w:hAnsi="Times New Roman" w:cs="Times New Roman"/>
              </w:rPr>
              <w:t>其他</w:t>
            </w:r>
            <w:r w:rsidRPr="0060354D">
              <w:rPr>
                <w:rFonts w:ascii="Times New Roman" w:eastAsia="宋体" w:hAnsi="Times New Roman" w:cs="Times New Roman"/>
                <w:u w:val="single"/>
              </w:rPr>
              <w:t xml:space="preserve">        </w:t>
            </w:r>
          </w:p>
        </w:tc>
      </w:tr>
      <w:tr w:rsidR="00BB6E0B" w:rsidRPr="0060354D" w14:paraId="3D4D8EBD" w14:textId="77777777" w:rsidTr="00F57441">
        <w:trPr>
          <w:trHeight w:val="1281"/>
        </w:trPr>
        <w:tc>
          <w:tcPr>
            <w:tcW w:w="1980" w:type="dxa"/>
            <w:vAlign w:val="center"/>
          </w:tcPr>
          <w:p w14:paraId="6540BC09" w14:textId="77777777" w:rsidR="00BB6E0B" w:rsidRPr="0060354D" w:rsidRDefault="008743D6"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参与单位名称</w:t>
            </w:r>
          </w:p>
          <w:p w14:paraId="760709A9" w14:textId="5A3D193F" w:rsidR="001474C6" w:rsidRPr="0060354D" w:rsidRDefault="001474C6"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w:t>
            </w:r>
            <w:r w:rsidR="00482780">
              <w:rPr>
                <w:rFonts w:ascii="Times New Roman" w:eastAsia="宋体" w:hAnsi="Times New Roman" w:cs="Times New Roman" w:hint="eastAsia"/>
              </w:rPr>
              <w:t>按首字母排序</w:t>
            </w:r>
            <w:r w:rsidRPr="0060354D">
              <w:rPr>
                <w:rFonts w:ascii="Times New Roman" w:eastAsia="宋体" w:hAnsi="Times New Roman" w:cs="Times New Roman"/>
              </w:rPr>
              <w:t>）</w:t>
            </w:r>
          </w:p>
        </w:tc>
        <w:tc>
          <w:tcPr>
            <w:tcW w:w="6390" w:type="dxa"/>
            <w:vAlign w:val="center"/>
          </w:tcPr>
          <w:p w14:paraId="070A9D9F" w14:textId="56F3B6AC" w:rsidR="00BB6E0B" w:rsidRPr="0060354D" w:rsidRDefault="00482780" w:rsidP="00B71D47">
            <w:pPr>
              <w:spacing w:line="360" w:lineRule="auto"/>
              <w:rPr>
                <w:rFonts w:ascii="Times New Roman" w:eastAsia="宋体" w:hAnsi="Times New Roman" w:cs="Times New Roman"/>
              </w:rPr>
            </w:pPr>
            <w:r w:rsidRPr="009837D9">
              <w:rPr>
                <w:rFonts w:ascii="Times New Roman" w:eastAsia="宋体" w:hAnsi="Times New Roman" w:cs="Times New Roman"/>
              </w:rPr>
              <w:t>北京沣沛投资管理有限公司、北京高信百诺投资管理有限公司、渤海汇金证券资产管理有限公司</w:t>
            </w:r>
            <w:r>
              <w:rPr>
                <w:rFonts w:ascii="Times New Roman" w:eastAsia="宋体" w:hAnsi="Times New Roman" w:cs="Times New Roman" w:hint="eastAsia"/>
              </w:rPr>
              <w:t>、</w:t>
            </w:r>
            <w:r w:rsidR="009837D9" w:rsidRPr="009837D9">
              <w:rPr>
                <w:rFonts w:ascii="Times New Roman" w:eastAsia="宋体" w:hAnsi="Times New Roman" w:cs="Times New Roman"/>
              </w:rPr>
              <w:t>CENTERLINE INVESTMENT MANAGEMENT LIMITED</w:t>
            </w:r>
            <w:r w:rsidR="009837D9" w:rsidRPr="009837D9">
              <w:rPr>
                <w:rFonts w:ascii="Times New Roman" w:eastAsia="宋体" w:hAnsi="Times New Roman" w:cs="Times New Roman"/>
              </w:rPr>
              <w:t>、财通证券、大家资产、东海证券、东吴基金、方正证券、富国基金、国泰君安证券、国信证券、国元证券、海通证券、华安基金、华创证券、华</w:t>
            </w:r>
            <w:r w:rsidR="009837D9" w:rsidRPr="009837D9">
              <w:rPr>
                <w:rFonts w:ascii="Times New Roman" w:eastAsia="宋体" w:hAnsi="Times New Roman" w:cs="Times New Roman" w:hint="eastAsia"/>
              </w:rPr>
              <w:t>福证券、华夏基金、</w:t>
            </w:r>
            <w:proofErr w:type="gramStart"/>
            <w:r w:rsidR="009837D9" w:rsidRPr="009837D9">
              <w:rPr>
                <w:rFonts w:ascii="Times New Roman" w:eastAsia="宋体" w:hAnsi="Times New Roman" w:cs="Times New Roman" w:hint="eastAsia"/>
              </w:rPr>
              <w:t>华夏久盈基金</w:t>
            </w:r>
            <w:proofErr w:type="gramEnd"/>
            <w:r w:rsidR="009837D9" w:rsidRPr="009837D9">
              <w:rPr>
                <w:rFonts w:ascii="Times New Roman" w:eastAsia="宋体" w:hAnsi="Times New Roman" w:cs="Times New Roman" w:hint="eastAsia"/>
              </w:rPr>
              <w:t>、华鑫证券、建信基金、交银施罗德基金、金泊投资、开源证券</w:t>
            </w:r>
            <w:r w:rsidR="009837D9">
              <w:rPr>
                <w:rFonts w:ascii="Times New Roman" w:eastAsia="宋体" w:hAnsi="Times New Roman" w:cs="Times New Roman" w:hint="eastAsia"/>
              </w:rPr>
              <w:t>、</w:t>
            </w:r>
            <w:r w:rsidR="009837D9" w:rsidRPr="009837D9">
              <w:rPr>
                <w:rFonts w:ascii="Times New Roman" w:eastAsia="宋体" w:hAnsi="Times New Roman" w:cs="Times New Roman"/>
              </w:rPr>
              <w:t>平安基金、</w:t>
            </w:r>
            <w:proofErr w:type="gramStart"/>
            <w:r w:rsidR="009837D9" w:rsidRPr="009837D9">
              <w:rPr>
                <w:rFonts w:ascii="Times New Roman" w:eastAsia="宋体" w:hAnsi="Times New Roman" w:cs="Times New Roman"/>
              </w:rPr>
              <w:t>浦银安</w:t>
            </w:r>
            <w:proofErr w:type="gramEnd"/>
            <w:r w:rsidR="009837D9" w:rsidRPr="009837D9">
              <w:rPr>
                <w:rFonts w:ascii="Times New Roman" w:eastAsia="宋体" w:hAnsi="Times New Roman" w:cs="Times New Roman"/>
              </w:rPr>
              <w:t>盛基金、上海彤源投资发展有限公司、申万宏源证券、中天汇富基金</w:t>
            </w:r>
            <w:r w:rsidR="009837D9" w:rsidRPr="009837D9">
              <w:rPr>
                <w:rFonts w:ascii="Times New Roman" w:eastAsia="宋体" w:hAnsi="Times New Roman" w:cs="Times New Roman" w:hint="eastAsia"/>
              </w:rPr>
              <w:t>、太平基金、太平洋证券、天风证券、天治基金、无锡市红</w:t>
            </w:r>
            <w:proofErr w:type="gramStart"/>
            <w:r w:rsidR="009837D9" w:rsidRPr="009837D9">
              <w:rPr>
                <w:rFonts w:ascii="Times New Roman" w:eastAsia="宋体" w:hAnsi="Times New Roman" w:cs="Times New Roman" w:hint="eastAsia"/>
              </w:rPr>
              <w:t>阳资本</w:t>
            </w:r>
            <w:proofErr w:type="gramEnd"/>
            <w:r w:rsidR="009837D9" w:rsidRPr="009837D9">
              <w:rPr>
                <w:rFonts w:ascii="Times New Roman" w:eastAsia="宋体" w:hAnsi="Times New Roman" w:cs="Times New Roman" w:hint="eastAsia"/>
              </w:rPr>
              <w:t>管理有限公司、西部利得基金、西南证券、信达资本、</w:t>
            </w:r>
            <w:proofErr w:type="gramStart"/>
            <w:r w:rsidR="009837D9" w:rsidRPr="009837D9">
              <w:rPr>
                <w:rFonts w:ascii="Times New Roman" w:eastAsia="宋体" w:hAnsi="Times New Roman" w:cs="Times New Roman" w:hint="eastAsia"/>
              </w:rPr>
              <w:t>兴证全球</w:t>
            </w:r>
            <w:proofErr w:type="gramEnd"/>
            <w:r w:rsidR="009837D9" w:rsidRPr="009837D9">
              <w:rPr>
                <w:rFonts w:ascii="Times New Roman" w:eastAsia="宋体" w:hAnsi="Times New Roman" w:cs="Times New Roman" w:hint="eastAsia"/>
              </w:rPr>
              <w:t>基金、银河证券、</w:t>
            </w:r>
            <w:proofErr w:type="gramStart"/>
            <w:r w:rsidR="009837D9" w:rsidRPr="009837D9">
              <w:rPr>
                <w:rFonts w:ascii="Times New Roman" w:eastAsia="宋体" w:hAnsi="Times New Roman" w:cs="Times New Roman" w:hint="eastAsia"/>
              </w:rPr>
              <w:t>永赢基金</w:t>
            </w:r>
            <w:proofErr w:type="gramEnd"/>
            <w:r w:rsidR="009837D9" w:rsidRPr="009837D9">
              <w:rPr>
                <w:rFonts w:ascii="Times New Roman" w:eastAsia="宋体" w:hAnsi="Times New Roman" w:cs="Times New Roman" w:hint="eastAsia"/>
              </w:rPr>
              <w:t>、</w:t>
            </w:r>
            <w:proofErr w:type="gramStart"/>
            <w:r w:rsidR="009837D9" w:rsidRPr="009837D9">
              <w:rPr>
                <w:rFonts w:ascii="Times New Roman" w:eastAsia="宋体" w:hAnsi="Times New Roman" w:cs="Times New Roman" w:hint="eastAsia"/>
              </w:rPr>
              <w:t>圆信永丰</w:t>
            </w:r>
            <w:proofErr w:type="gramEnd"/>
            <w:r w:rsidR="009837D9" w:rsidRPr="009837D9">
              <w:rPr>
                <w:rFonts w:ascii="Times New Roman" w:eastAsia="宋体" w:hAnsi="Times New Roman" w:cs="Times New Roman" w:hint="eastAsia"/>
              </w:rPr>
              <w:t>基金、长城基金、长江证券、长信基金、中金公司、中欧基金、</w:t>
            </w:r>
            <w:proofErr w:type="gramStart"/>
            <w:r w:rsidR="009837D9" w:rsidRPr="009837D9">
              <w:rPr>
                <w:rFonts w:ascii="Times New Roman" w:eastAsia="宋体" w:hAnsi="Times New Roman" w:cs="Times New Roman" w:hint="eastAsia"/>
              </w:rPr>
              <w:t>中信保诚</w:t>
            </w:r>
            <w:proofErr w:type="gramEnd"/>
            <w:r w:rsidR="009837D9" w:rsidRPr="009837D9">
              <w:rPr>
                <w:rFonts w:ascii="Times New Roman" w:eastAsia="宋体" w:hAnsi="Times New Roman" w:cs="Times New Roman" w:hint="eastAsia"/>
              </w:rPr>
              <w:t>基金、中意资产、中</w:t>
            </w:r>
            <w:proofErr w:type="gramStart"/>
            <w:r w:rsidR="009837D9" w:rsidRPr="009837D9">
              <w:rPr>
                <w:rFonts w:ascii="Times New Roman" w:eastAsia="宋体" w:hAnsi="Times New Roman" w:cs="Times New Roman" w:hint="eastAsia"/>
              </w:rPr>
              <w:t>邮证券</w:t>
            </w:r>
            <w:proofErr w:type="gramEnd"/>
            <w:r w:rsidR="009837D9">
              <w:rPr>
                <w:rFonts w:ascii="Times New Roman" w:eastAsia="宋体" w:hAnsi="Times New Roman" w:cs="Times New Roman" w:hint="eastAsia"/>
              </w:rPr>
              <w:t>等</w:t>
            </w:r>
            <w:r w:rsidR="009837D9">
              <w:rPr>
                <w:rFonts w:ascii="Times New Roman" w:eastAsia="宋体" w:hAnsi="Times New Roman" w:cs="Times New Roman" w:hint="eastAsia"/>
              </w:rPr>
              <w:t>7</w:t>
            </w:r>
            <w:r w:rsidR="009837D9">
              <w:rPr>
                <w:rFonts w:ascii="Times New Roman" w:eastAsia="宋体" w:hAnsi="Times New Roman" w:cs="Times New Roman"/>
              </w:rPr>
              <w:t>6</w:t>
            </w:r>
            <w:r w:rsidR="009837D9">
              <w:rPr>
                <w:rFonts w:ascii="Times New Roman" w:eastAsia="宋体" w:hAnsi="Times New Roman" w:cs="Times New Roman" w:hint="eastAsia"/>
              </w:rPr>
              <w:t>位</w:t>
            </w:r>
            <w:r w:rsidR="009837D9" w:rsidRPr="009837D9">
              <w:rPr>
                <w:rFonts w:ascii="Times New Roman" w:eastAsia="宋体" w:hAnsi="Times New Roman" w:cs="Times New Roman" w:hint="eastAsia"/>
              </w:rPr>
              <w:t>机构投资者</w:t>
            </w:r>
            <w:r w:rsidR="009837D9">
              <w:rPr>
                <w:rFonts w:ascii="Times New Roman" w:eastAsia="宋体" w:hAnsi="Times New Roman" w:cs="Times New Roman" w:hint="eastAsia"/>
              </w:rPr>
              <w:t>。</w:t>
            </w:r>
          </w:p>
        </w:tc>
      </w:tr>
      <w:tr w:rsidR="00BB6E0B" w:rsidRPr="0060354D" w14:paraId="1DB170BD" w14:textId="77777777" w:rsidTr="00F41325">
        <w:trPr>
          <w:trHeight w:val="989"/>
        </w:trPr>
        <w:tc>
          <w:tcPr>
            <w:tcW w:w="1980" w:type="dxa"/>
            <w:vAlign w:val="center"/>
          </w:tcPr>
          <w:p w14:paraId="6369C86B" w14:textId="39906219" w:rsidR="00BB6E0B" w:rsidRPr="0060354D" w:rsidRDefault="008743D6"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时间</w:t>
            </w:r>
          </w:p>
        </w:tc>
        <w:tc>
          <w:tcPr>
            <w:tcW w:w="6390" w:type="dxa"/>
            <w:vAlign w:val="center"/>
          </w:tcPr>
          <w:p w14:paraId="6C3A8FF4" w14:textId="3FB801B7" w:rsidR="00BB6E0B" w:rsidRPr="0060354D" w:rsidRDefault="00B44E28" w:rsidP="00B71D47">
            <w:pPr>
              <w:spacing w:line="360" w:lineRule="auto"/>
              <w:rPr>
                <w:rFonts w:ascii="Times New Roman" w:eastAsia="宋体" w:hAnsi="Times New Roman" w:cs="Times New Roman"/>
              </w:rPr>
            </w:pPr>
            <w:r w:rsidRPr="0060354D">
              <w:rPr>
                <w:rFonts w:ascii="Times New Roman" w:eastAsia="宋体" w:hAnsi="Times New Roman" w:cs="Times New Roman"/>
              </w:rPr>
              <w:t>202</w:t>
            </w:r>
            <w:r w:rsidR="001F55EC" w:rsidRPr="0060354D">
              <w:rPr>
                <w:rFonts w:ascii="Times New Roman" w:eastAsia="宋体" w:hAnsi="Times New Roman" w:cs="Times New Roman"/>
              </w:rPr>
              <w:t>4</w:t>
            </w:r>
            <w:r w:rsidRPr="0060354D">
              <w:rPr>
                <w:rFonts w:ascii="Times New Roman" w:eastAsia="宋体" w:hAnsi="Times New Roman" w:cs="Times New Roman"/>
              </w:rPr>
              <w:t>年</w:t>
            </w:r>
            <w:r w:rsidR="007A555F">
              <w:rPr>
                <w:rFonts w:ascii="Times New Roman" w:eastAsia="宋体" w:hAnsi="Times New Roman" w:cs="Times New Roman" w:hint="eastAsia"/>
              </w:rPr>
              <w:t>1</w:t>
            </w:r>
            <w:r w:rsidR="007A555F">
              <w:rPr>
                <w:rFonts w:ascii="Times New Roman" w:eastAsia="宋体" w:hAnsi="Times New Roman" w:cs="Times New Roman"/>
              </w:rPr>
              <w:t>0</w:t>
            </w:r>
            <w:r w:rsidRPr="0060354D">
              <w:rPr>
                <w:rFonts w:ascii="Times New Roman" w:eastAsia="宋体" w:hAnsi="Times New Roman" w:cs="Times New Roman"/>
              </w:rPr>
              <w:t>月</w:t>
            </w:r>
            <w:r w:rsidR="007A555F">
              <w:rPr>
                <w:rFonts w:ascii="Times New Roman" w:eastAsia="宋体" w:hAnsi="Times New Roman" w:cs="Times New Roman" w:hint="eastAsia"/>
              </w:rPr>
              <w:t>3</w:t>
            </w:r>
            <w:r w:rsidR="007A555F">
              <w:rPr>
                <w:rFonts w:ascii="Times New Roman" w:eastAsia="宋体" w:hAnsi="Times New Roman" w:cs="Times New Roman"/>
              </w:rPr>
              <w:t>0</w:t>
            </w:r>
            <w:r w:rsidRPr="0060354D">
              <w:rPr>
                <w:rFonts w:ascii="Times New Roman" w:eastAsia="宋体" w:hAnsi="Times New Roman" w:cs="Times New Roman"/>
              </w:rPr>
              <w:t>日</w:t>
            </w:r>
            <w:r w:rsidR="00447EE7" w:rsidRPr="0060354D">
              <w:rPr>
                <w:rFonts w:ascii="Times New Roman" w:eastAsia="宋体" w:hAnsi="Times New Roman" w:cs="Times New Roman"/>
              </w:rPr>
              <w:t>1</w:t>
            </w:r>
            <w:r w:rsidR="007A555F">
              <w:rPr>
                <w:rFonts w:ascii="Times New Roman" w:eastAsia="宋体" w:hAnsi="Times New Roman" w:cs="Times New Roman"/>
              </w:rPr>
              <w:t>5</w:t>
            </w:r>
            <w:r w:rsidR="002235D5" w:rsidRPr="0060354D">
              <w:rPr>
                <w:rFonts w:ascii="Times New Roman" w:eastAsia="宋体" w:hAnsi="Times New Roman" w:cs="Times New Roman"/>
              </w:rPr>
              <w:t>:00-1</w:t>
            </w:r>
            <w:r w:rsidR="007A555F">
              <w:rPr>
                <w:rFonts w:ascii="Times New Roman" w:eastAsia="宋体" w:hAnsi="Times New Roman" w:cs="Times New Roman"/>
              </w:rPr>
              <w:t>6</w:t>
            </w:r>
            <w:r w:rsidR="002235D5" w:rsidRPr="0060354D">
              <w:rPr>
                <w:rFonts w:ascii="Times New Roman" w:eastAsia="宋体" w:hAnsi="Times New Roman" w:cs="Times New Roman"/>
              </w:rPr>
              <w:t>:00</w:t>
            </w:r>
          </w:p>
        </w:tc>
      </w:tr>
      <w:tr w:rsidR="00BB6E0B" w:rsidRPr="0060354D" w14:paraId="1BA9AB1E" w14:textId="77777777" w:rsidTr="00F41325">
        <w:trPr>
          <w:trHeight w:val="844"/>
        </w:trPr>
        <w:tc>
          <w:tcPr>
            <w:tcW w:w="1980" w:type="dxa"/>
            <w:vAlign w:val="center"/>
          </w:tcPr>
          <w:p w14:paraId="3B3EC81F" w14:textId="731029A1" w:rsidR="00BB6E0B" w:rsidRPr="0060354D" w:rsidRDefault="008743D6"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地点</w:t>
            </w:r>
          </w:p>
        </w:tc>
        <w:tc>
          <w:tcPr>
            <w:tcW w:w="6390" w:type="dxa"/>
            <w:vAlign w:val="center"/>
          </w:tcPr>
          <w:p w14:paraId="72900F59" w14:textId="68BF8C75" w:rsidR="00BB6E0B" w:rsidRPr="0060354D" w:rsidRDefault="007A555F" w:rsidP="00B71D47">
            <w:pPr>
              <w:spacing w:line="360" w:lineRule="auto"/>
              <w:rPr>
                <w:rFonts w:ascii="Times New Roman" w:eastAsia="宋体" w:hAnsi="Times New Roman" w:cs="Times New Roman"/>
              </w:rPr>
            </w:pPr>
            <w:r>
              <w:rPr>
                <w:rFonts w:ascii="Times New Roman" w:eastAsia="宋体" w:hAnsi="Times New Roman" w:cs="Times New Roman" w:hint="eastAsia"/>
              </w:rPr>
              <w:t>线上会议</w:t>
            </w:r>
          </w:p>
        </w:tc>
      </w:tr>
      <w:tr w:rsidR="00BB6E0B" w:rsidRPr="0060354D" w14:paraId="411B6AD8" w14:textId="77777777" w:rsidTr="00866DAA">
        <w:trPr>
          <w:trHeight w:val="1537"/>
        </w:trPr>
        <w:tc>
          <w:tcPr>
            <w:tcW w:w="1980" w:type="dxa"/>
            <w:vAlign w:val="center"/>
          </w:tcPr>
          <w:p w14:paraId="57165306" w14:textId="26083412" w:rsidR="00BB6E0B" w:rsidRPr="0060354D" w:rsidRDefault="008743D6"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lastRenderedPageBreak/>
              <w:t>上市公司接待人员姓名</w:t>
            </w:r>
          </w:p>
        </w:tc>
        <w:tc>
          <w:tcPr>
            <w:tcW w:w="6390" w:type="dxa"/>
            <w:vAlign w:val="center"/>
          </w:tcPr>
          <w:p w14:paraId="416D2323" w14:textId="1BFB744C" w:rsidR="00274136" w:rsidRPr="0060354D" w:rsidRDefault="00274136" w:rsidP="00274136">
            <w:pPr>
              <w:spacing w:line="360" w:lineRule="auto"/>
              <w:rPr>
                <w:rFonts w:ascii="Times New Roman" w:eastAsia="宋体" w:hAnsi="Times New Roman" w:cs="Times New Roman"/>
              </w:rPr>
            </w:pPr>
            <w:r w:rsidRPr="0060354D">
              <w:rPr>
                <w:rFonts w:ascii="Times New Roman" w:eastAsia="宋体" w:hAnsi="Times New Roman" w:cs="Times New Roman"/>
              </w:rPr>
              <w:t>董事、财务总监：任铭</w:t>
            </w:r>
          </w:p>
          <w:p w14:paraId="0E7BDEB4" w14:textId="61CB73D3" w:rsidR="00797D42" w:rsidRPr="0060354D" w:rsidRDefault="00797D42" w:rsidP="00274136">
            <w:pPr>
              <w:spacing w:line="360" w:lineRule="auto"/>
              <w:rPr>
                <w:rFonts w:ascii="Times New Roman" w:eastAsia="宋体" w:hAnsi="Times New Roman" w:cs="Times New Roman"/>
              </w:rPr>
            </w:pPr>
            <w:r w:rsidRPr="0060354D">
              <w:rPr>
                <w:rFonts w:ascii="Times New Roman" w:eastAsia="宋体" w:hAnsi="Times New Roman" w:cs="Times New Roman"/>
              </w:rPr>
              <w:t>副总经理、董事会秘书：李潇涵</w:t>
            </w:r>
          </w:p>
        </w:tc>
      </w:tr>
      <w:tr w:rsidR="00BC4D66" w:rsidRPr="0060354D" w14:paraId="48D18AD2" w14:textId="77777777" w:rsidTr="001474C6">
        <w:trPr>
          <w:trHeight w:val="517"/>
        </w:trPr>
        <w:tc>
          <w:tcPr>
            <w:tcW w:w="1980" w:type="dxa"/>
            <w:vAlign w:val="center"/>
          </w:tcPr>
          <w:p w14:paraId="53DEB6EF" w14:textId="39DFC16C" w:rsidR="00BC4D66" w:rsidRPr="0060354D" w:rsidRDefault="00BC4D66" w:rsidP="00BC4D66">
            <w:pPr>
              <w:spacing w:line="360" w:lineRule="auto"/>
              <w:jc w:val="center"/>
              <w:rPr>
                <w:rFonts w:ascii="Times New Roman" w:eastAsia="宋体" w:hAnsi="Times New Roman" w:cs="Times New Roman"/>
              </w:rPr>
            </w:pPr>
            <w:r w:rsidRPr="0060354D">
              <w:rPr>
                <w:rFonts w:ascii="Times New Roman" w:eastAsia="宋体" w:hAnsi="Times New Roman" w:cs="Times New Roman"/>
              </w:rPr>
              <w:br w:type="page"/>
            </w:r>
            <w:r w:rsidRPr="0060354D">
              <w:rPr>
                <w:rFonts w:ascii="Times New Roman" w:eastAsia="宋体" w:hAnsi="Times New Roman" w:cs="Times New Roman"/>
              </w:rPr>
              <w:t>投资者关系活动主要内容介绍</w:t>
            </w:r>
          </w:p>
        </w:tc>
        <w:tc>
          <w:tcPr>
            <w:tcW w:w="6390" w:type="dxa"/>
            <w:vAlign w:val="center"/>
          </w:tcPr>
          <w:p w14:paraId="3ED95C47" w14:textId="77777777" w:rsidR="00BC4D66" w:rsidRPr="0060354D" w:rsidRDefault="00BC4D66" w:rsidP="00BC4D66">
            <w:pPr>
              <w:pStyle w:val="a4"/>
              <w:numPr>
                <w:ilvl w:val="0"/>
                <w:numId w:val="2"/>
              </w:numPr>
              <w:spacing w:line="360" w:lineRule="auto"/>
              <w:ind w:firstLineChars="0"/>
              <w:rPr>
                <w:rFonts w:ascii="Times New Roman" w:eastAsia="宋体" w:hAnsi="Times New Roman" w:cs="Times New Roman"/>
                <w:b/>
                <w:bCs/>
              </w:rPr>
            </w:pPr>
            <w:r w:rsidRPr="0060354D">
              <w:rPr>
                <w:rFonts w:ascii="Times New Roman" w:eastAsia="宋体" w:hAnsi="Times New Roman" w:cs="Times New Roman"/>
                <w:b/>
                <w:bCs/>
              </w:rPr>
              <w:t>开场致辞</w:t>
            </w:r>
          </w:p>
          <w:p w14:paraId="659731F6" w14:textId="7B6EEC45" w:rsidR="00420CC0" w:rsidRPr="0060354D" w:rsidRDefault="00BC4D66" w:rsidP="00737A51">
            <w:pPr>
              <w:pStyle w:val="a4"/>
              <w:numPr>
                <w:ilvl w:val="0"/>
                <w:numId w:val="2"/>
              </w:numPr>
              <w:spacing w:line="360" w:lineRule="auto"/>
              <w:ind w:firstLineChars="0"/>
              <w:rPr>
                <w:rFonts w:ascii="Times New Roman" w:eastAsia="宋体" w:hAnsi="Times New Roman" w:cs="Times New Roman"/>
                <w:b/>
                <w:bCs/>
              </w:rPr>
            </w:pPr>
            <w:r w:rsidRPr="0060354D">
              <w:rPr>
                <w:rFonts w:ascii="Times New Roman" w:eastAsia="宋体" w:hAnsi="Times New Roman" w:cs="Times New Roman"/>
                <w:b/>
                <w:bCs/>
              </w:rPr>
              <w:t>交流问答环节</w:t>
            </w:r>
          </w:p>
          <w:p w14:paraId="0AEFE565" w14:textId="4FF2BCA3" w:rsidR="00A07A78" w:rsidRPr="0060354D" w:rsidRDefault="00A07A78" w:rsidP="00A07A78">
            <w:pPr>
              <w:spacing w:line="360" w:lineRule="auto"/>
              <w:rPr>
                <w:rFonts w:ascii="Times New Roman" w:eastAsia="宋体" w:hAnsi="Times New Roman" w:cs="Times New Roman"/>
                <w:b/>
                <w:bCs/>
              </w:rPr>
            </w:pPr>
            <w:r w:rsidRPr="0060354D">
              <w:rPr>
                <w:rFonts w:ascii="Times New Roman" w:eastAsia="宋体" w:hAnsi="Times New Roman" w:cs="Times New Roman"/>
                <w:b/>
                <w:bCs/>
              </w:rPr>
              <w:t>1</w:t>
            </w:r>
            <w:r w:rsidRPr="0060354D">
              <w:rPr>
                <w:rFonts w:ascii="Times New Roman" w:eastAsia="宋体" w:hAnsi="Times New Roman" w:cs="Times New Roman"/>
                <w:b/>
                <w:bCs/>
              </w:rPr>
              <w:t>、</w:t>
            </w:r>
            <w:r w:rsidR="007A555F" w:rsidRPr="007A555F">
              <w:rPr>
                <w:rFonts w:ascii="Times New Roman" w:eastAsia="宋体" w:hAnsi="Times New Roman" w:cs="Times New Roman" w:hint="eastAsia"/>
                <w:b/>
                <w:bCs/>
              </w:rPr>
              <w:t>餐饮市场的需求疲软，但公司</w:t>
            </w:r>
            <w:r w:rsidR="007A555F" w:rsidRPr="007A555F">
              <w:rPr>
                <w:rFonts w:ascii="Times New Roman" w:eastAsia="宋体" w:hAnsi="Times New Roman" w:cs="Times New Roman"/>
                <w:b/>
                <w:bCs/>
              </w:rPr>
              <w:t>B</w:t>
            </w:r>
            <w:proofErr w:type="gramStart"/>
            <w:r w:rsidR="007A555F" w:rsidRPr="007A555F">
              <w:rPr>
                <w:rFonts w:ascii="Times New Roman" w:eastAsia="宋体" w:hAnsi="Times New Roman" w:cs="Times New Roman"/>
                <w:b/>
                <w:bCs/>
              </w:rPr>
              <w:t>端收入</w:t>
            </w:r>
            <w:proofErr w:type="gramEnd"/>
            <w:r w:rsidR="007A555F" w:rsidRPr="007A555F">
              <w:rPr>
                <w:rFonts w:ascii="Times New Roman" w:eastAsia="宋体" w:hAnsi="Times New Roman" w:cs="Times New Roman"/>
                <w:b/>
                <w:bCs/>
              </w:rPr>
              <w:t>表现出了韧性，请问公司对</w:t>
            </w:r>
            <w:r w:rsidR="007A555F" w:rsidRPr="007A555F">
              <w:rPr>
                <w:rFonts w:ascii="Times New Roman" w:eastAsia="宋体" w:hAnsi="Times New Roman" w:cs="Times New Roman"/>
                <w:b/>
                <w:bCs/>
              </w:rPr>
              <w:t>B</w:t>
            </w:r>
            <w:proofErr w:type="gramStart"/>
            <w:r w:rsidR="007A555F" w:rsidRPr="007A555F">
              <w:rPr>
                <w:rFonts w:ascii="Times New Roman" w:eastAsia="宋体" w:hAnsi="Times New Roman" w:cs="Times New Roman"/>
                <w:b/>
                <w:bCs/>
              </w:rPr>
              <w:t>端客户</w:t>
            </w:r>
            <w:proofErr w:type="gramEnd"/>
            <w:r w:rsidR="007A555F" w:rsidRPr="007A555F">
              <w:rPr>
                <w:rFonts w:ascii="Times New Roman" w:eastAsia="宋体" w:hAnsi="Times New Roman" w:cs="Times New Roman"/>
                <w:b/>
                <w:bCs/>
              </w:rPr>
              <w:t>后期发展有何展望？</w:t>
            </w:r>
          </w:p>
          <w:p w14:paraId="304015B4" w14:textId="30DDE0DF" w:rsidR="00A07A78" w:rsidRPr="0060354D" w:rsidRDefault="00A07A78" w:rsidP="003D491E">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7A555F" w:rsidRPr="007A555F">
              <w:rPr>
                <w:rFonts w:ascii="Times New Roman" w:eastAsia="宋体" w:hAnsi="Times New Roman" w:cs="Times New Roman" w:hint="eastAsia"/>
              </w:rPr>
              <w:t>公司目前</w:t>
            </w:r>
            <w:r w:rsidR="007A555F" w:rsidRPr="007A555F">
              <w:rPr>
                <w:rFonts w:ascii="Times New Roman" w:eastAsia="宋体" w:hAnsi="Times New Roman" w:cs="Times New Roman"/>
              </w:rPr>
              <w:t>B</w:t>
            </w:r>
            <w:proofErr w:type="gramStart"/>
            <w:r w:rsidR="007A555F" w:rsidRPr="007A555F">
              <w:rPr>
                <w:rFonts w:ascii="Times New Roman" w:eastAsia="宋体" w:hAnsi="Times New Roman" w:cs="Times New Roman"/>
              </w:rPr>
              <w:t>端业务</w:t>
            </w:r>
            <w:proofErr w:type="gramEnd"/>
            <w:r w:rsidR="007A555F" w:rsidRPr="007A555F">
              <w:rPr>
                <w:rFonts w:ascii="Times New Roman" w:eastAsia="宋体" w:hAnsi="Times New Roman" w:cs="Times New Roman"/>
              </w:rPr>
              <w:t>的客户主要有两大类，一类是以西式连锁快餐为主的餐饮企业，另一类是食品工业类客户。纵观一至三季度全国餐饮市场数据，市场竞争程度</w:t>
            </w:r>
            <w:r w:rsidR="007A555F">
              <w:rPr>
                <w:rFonts w:ascii="Times New Roman" w:eastAsia="宋体" w:hAnsi="Times New Roman" w:cs="Times New Roman" w:hint="eastAsia"/>
              </w:rPr>
              <w:t>在不断</w:t>
            </w:r>
            <w:r w:rsidR="007A555F" w:rsidRPr="007A555F">
              <w:rPr>
                <w:rFonts w:ascii="Times New Roman" w:eastAsia="宋体" w:hAnsi="Times New Roman" w:cs="Times New Roman"/>
              </w:rPr>
              <w:t>加剧。未来公司将继续夯实</w:t>
            </w:r>
            <w:r w:rsidR="00F923C7">
              <w:rPr>
                <w:rFonts w:ascii="Times New Roman" w:eastAsia="宋体" w:hAnsi="Times New Roman" w:cs="Times New Roman" w:hint="eastAsia"/>
              </w:rPr>
              <w:t>自身</w:t>
            </w:r>
            <w:r w:rsidR="007A555F" w:rsidRPr="007A555F">
              <w:rPr>
                <w:rFonts w:ascii="Times New Roman" w:eastAsia="宋体" w:hAnsi="Times New Roman" w:cs="Times New Roman"/>
              </w:rPr>
              <w:t>在餐饮供应</w:t>
            </w:r>
            <w:proofErr w:type="gramStart"/>
            <w:r w:rsidR="007A555F" w:rsidRPr="007A555F">
              <w:rPr>
                <w:rFonts w:ascii="Times New Roman" w:eastAsia="宋体" w:hAnsi="Times New Roman" w:cs="Times New Roman"/>
              </w:rPr>
              <w:t>链领域</w:t>
            </w:r>
            <w:proofErr w:type="gramEnd"/>
            <w:r w:rsidR="007A555F" w:rsidRPr="007A555F">
              <w:rPr>
                <w:rFonts w:ascii="Times New Roman" w:eastAsia="宋体" w:hAnsi="Times New Roman" w:cs="Times New Roman"/>
              </w:rPr>
              <w:t>的</w:t>
            </w:r>
            <w:r w:rsidR="00C5354B">
              <w:rPr>
                <w:rFonts w:ascii="Times New Roman" w:eastAsia="宋体" w:hAnsi="Times New Roman" w:cs="Times New Roman" w:hint="eastAsia"/>
              </w:rPr>
              <w:t>能力和</w:t>
            </w:r>
            <w:r w:rsidR="007A555F" w:rsidRPr="007A555F">
              <w:rPr>
                <w:rFonts w:ascii="Times New Roman" w:eastAsia="宋体" w:hAnsi="Times New Roman" w:cs="Times New Roman"/>
              </w:rPr>
              <w:t>市场地位，同时将公司</w:t>
            </w:r>
            <w:proofErr w:type="gramStart"/>
            <w:r w:rsidR="007A555F" w:rsidRPr="007A555F">
              <w:rPr>
                <w:rFonts w:ascii="Times New Roman" w:eastAsia="宋体" w:hAnsi="Times New Roman" w:cs="Times New Roman"/>
              </w:rPr>
              <w:t>往食品供应链解决</w:t>
            </w:r>
            <w:proofErr w:type="gramEnd"/>
            <w:r w:rsidR="007A555F" w:rsidRPr="007A555F">
              <w:rPr>
                <w:rFonts w:ascii="Times New Roman" w:eastAsia="宋体" w:hAnsi="Times New Roman" w:cs="Times New Roman"/>
              </w:rPr>
              <w:t>方案服务商的定位进行战略转型。除餐饮渠道外，公司也在积极与商超及便利店等食品消费主要场景渠道进行紧密互动和业务接洽，通过新渠道的拓展去覆盖更广的客户和挖掘更多的市场机会。</w:t>
            </w:r>
          </w:p>
          <w:p w14:paraId="0A902298" w14:textId="77777777" w:rsidR="00315399" w:rsidRPr="0060354D" w:rsidRDefault="00315399" w:rsidP="003D491E">
            <w:pPr>
              <w:spacing w:line="360" w:lineRule="auto"/>
              <w:ind w:firstLineChars="200" w:firstLine="420"/>
              <w:rPr>
                <w:rFonts w:ascii="Times New Roman" w:eastAsia="宋体" w:hAnsi="Times New Roman" w:cs="Times New Roman"/>
              </w:rPr>
            </w:pPr>
          </w:p>
          <w:p w14:paraId="258D7535" w14:textId="3ABB5A35" w:rsidR="00A07A78" w:rsidRPr="0060354D" w:rsidRDefault="00A07A78" w:rsidP="00A07A78">
            <w:pPr>
              <w:spacing w:line="360" w:lineRule="auto"/>
              <w:rPr>
                <w:rFonts w:ascii="Times New Roman" w:eastAsia="宋体" w:hAnsi="Times New Roman" w:cs="Times New Roman"/>
                <w:b/>
                <w:bCs/>
              </w:rPr>
            </w:pPr>
            <w:r w:rsidRPr="0060354D">
              <w:rPr>
                <w:rFonts w:ascii="Times New Roman" w:eastAsia="宋体" w:hAnsi="Times New Roman" w:cs="Times New Roman"/>
                <w:b/>
                <w:bCs/>
              </w:rPr>
              <w:t>2</w:t>
            </w:r>
            <w:r w:rsidRPr="0060354D">
              <w:rPr>
                <w:rFonts w:ascii="Times New Roman" w:eastAsia="宋体" w:hAnsi="Times New Roman" w:cs="Times New Roman"/>
                <w:b/>
                <w:bCs/>
              </w:rPr>
              <w:t>、</w:t>
            </w:r>
            <w:r w:rsidR="007A555F" w:rsidRPr="007A555F">
              <w:rPr>
                <w:rFonts w:ascii="Times New Roman" w:eastAsia="宋体" w:hAnsi="Times New Roman" w:cs="Times New Roman" w:hint="eastAsia"/>
                <w:b/>
                <w:bCs/>
              </w:rPr>
              <w:t>请问公司烘焙业务目前的情况及规划</w:t>
            </w:r>
            <w:r w:rsidR="007A555F">
              <w:rPr>
                <w:rFonts w:ascii="Times New Roman" w:eastAsia="宋体" w:hAnsi="Times New Roman" w:cs="Times New Roman" w:hint="eastAsia"/>
                <w:b/>
                <w:bCs/>
              </w:rPr>
              <w:t>。</w:t>
            </w:r>
          </w:p>
          <w:p w14:paraId="55DA65A4" w14:textId="510E457A" w:rsidR="00F74EBA" w:rsidRDefault="00A07A78" w:rsidP="00F74EBA">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7A555F" w:rsidRPr="007A555F">
              <w:rPr>
                <w:rFonts w:ascii="Times New Roman" w:eastAsia="宋体" w:hAnsi="Times New Roman" w:cs="Times New Roman" w:hint="eastAsia"/>
              </w:rPr>
              <w:t>从公司目前烘焙业务的经营数据来看，收入规模和利润表现没有达到</w:t>
            </w:r>
            <w:r w:rsidR="00590D02">
              <w:rPr>
                <w:rFonts w:ascii="Times New Roman" w:eastAsia="宋体" w:hAnsi="Times New Roman" w:cs="Times New Roman" w:hint="eastAsia"/>
              </w:rPr>
              <w:t>预期</w:t>
            </w:r>
            <w:r w:rsidR="007A555F" w:rsidRPr="007A555F">
              <w:rPr>
                <w:rFonts w:ascii="Times New Roman" w:eastAsia="宋体" w:hAnsi="Times New Roman" w:cs="Times New Roman" w:hint="eastAsia"/>
              </w:rPr>
              <w:t>的</w:t>
            </w:r>
            <w:r w:rsidR="00590D02">
              <w:rPr>
                <w:rFonts w:ascii="Times New Roman" w:eastAsia="宋体" w:hAnsi="Times New Roman" w:cs="Times New Roman" w:hint="eastAsia"/>
              </w:rPr>
              <w:t>理想</w:t>
            </w:r>
            <w:r w:rsidR="007A555F" w:rsidRPr="007A555F">
              <w:rPr>
                <w:rFonts w:ascii="Times New Roman" w:eastAsia="宋体" w:hAnsi="Times New Roman" w:cs="Times New Roman" w:hint="eastAsia"/>
              </w:rPr>
              <w:t>水平。毕竟</w:t>
            </w:r>
            <w:r w:rsidR="007A555F">
              <w:rPr>
                <w:rFonts w:ascii="Times New Roman" w:eastAsia="宋体" w:hAnsi="Times New Roman" w:cs="Times New Roman" w:hint="eastAsia"/>
              </w:rPr>
              <w:t>烘焙业务</w:t>
            </w:r>
            <w:r w:rsidR="007A555F" w:rsidRPr="007A555F">
              <w:rPr>
                <w:rFonts w:ascii="Times New Roman" w:eastAsia="宋体" w:hAnsi="Times New Roman" w:cs="Times New Roman" w:hint="eastAsia"/>
              </w:rPr>
              <w:t>是公司对新业务模块的尝试，业务发展步入正轨需要一定的时间积累和经历试错纠偏。公司对</w:t>
            </w:r>
            <w:r w:rsidR="006E0BB2">
              <w:rPr>
                <w:rFonts w:ascii="Times New Roman" w:eastAsia="宋体" w:hAnsi="Times New Roman" w:cs="Times New Roman" w:hint="eastAsia"/>
              </w:rPr>
              <w:t>新业务发展过程中遇到的</w:t>
            </w:r>
            <w:r w:rsidR="007A555F" w:rsidRPr="007A555F">
              <w:rPr>
                <w:rFonts w:ascii="Times New Roman" w:eastAsia="宋体" w:hAnsi="Times New Roman" w:cs="Times New Roman" w:hint="eastAsia"/>
              </w:rPr>
              <w:t>问题进行了针对性的研讨和调整，在团队管理、客户拓展和产品选择上调整布局，充分利用烘焙工厂的优势，以期在第四季度及明年实现烘焙业务的环比改善。</w:t>
            </w:r>
          </w:p>
          <w:p w14:paraId="1D88DA47" w14:textId="77777777" w:rsidR="007A555F" w:rsidRPr="0060354D" w:rsidRDefault="007A555F" w:rsidP="00F74EBA">
            <w:pPr>
              <w:spacing w:line="360" w:lineRule="auto"/>
              <w:ind w:firstLineChars="200" w:firstLine="420"/>
              <w:rPr>
                <w:rFonts w:ascii="Times New Roman" w:eastAsia="宋体" w:hAnsi="Times New Roman" w:cs="Times New Roman"/>
              </w:rPr>
            </w:pPr>
          </w:p>
          <w:p w14:paraId="394CBEC7" w14:textId="43CC0BD2" w:rsidR="00A07A78" w:rsidRPr="0060354D" w:rsidRDefault="00A07A78" w:rsidP="00A07A78">
            <w:pPr>
              <w:spacing w:line="360" w:lineRule="auto"/>
              <w:rPr>
                <w:rFonts w:ascii="Times New Roman" w:eastAsia="宋体" w:hAnsi="Times New Roman" w:cs="Times New Roman"/>
                <w:b/>
                <w:bCs/>
              </w:rPr>
            </w:pPr>
            <w:r w:rsidRPr="0060354D">
              <w:rPr>
                <w:rFonts w:ascii="Times New Roman" w:eastAsia="宋体" w:hAnsi="Times New Roman" w:cs="Times New Roman"/>
                <w:b/>
                <w:bCs/>
              </w:rPr>
              <w:t>3</w:t>
            </w:r>
            <w:r w:rsidRPr="0060354D">
              <w:rPr>
                <w:rFonts w:ascii="Times New Roman" w:eastAsia="宋体" w:hAnsi="Times New Roman" w:cs="Times New Roman"/>
                <w:b/>
                <w:bCs/>
              </w:rPr>
              <w:t>、</w:t>
            </w:r>
            <w:proofErr w:type="gramStart"/>
            <w:r w:rsidR="008E6602" w:rsidRPr="008E6602">
              <w:rPr>
                <w:rFonts w:ascii="Times New Roman" w:eastAsia="宋体" w:hAnsi="Times New Roman" w:cs="Times New Roman" w:hint="eastAsia"/>
                <w:b/>
                <w:bCs/>
              </w:rPr>
              <w:t>有关注</w:t>
            </w:r>
            <w:proofErr w:type="gramEnd"/>
            <w:r w:rsidR="008E6602" w:rsidRPr="008E6602">
              <w:rPr>
                <w:rFonts w:ascii="Times New Roman" w:eastAsia="宋体" w:hAnsi="Times New Roman" w:cs="Times New Roman" w:hint="eastAsia"/>
                <w:b/>
                <w:bCs/>
              </w:rPr>
              <w:t>到公司三季度的经销商数量较二季度有增加，请问现在空刻的线下布局情况</w:t>
            </w:r>
            <w:r w:rsidR="008E6602">
              <w:rPr>
                <w:rFonts w:ascii="Times New Roman" w:eastAsia="宋体" w:hAnsi="Times New Roman" w:cs="Times New Roman" w:hint="eastAsia"/>
                <w:b/>
                <w:bCs/>
              </w:rPr>
              <w:t>怎样</w:t>
            </w:r>
            <w:r w:rsidR="00B16884" w:rsidRPr="0060354D">
              <w:rPr>
                <w:rFonts w:ascii="Times New Roman" w:eastAsia="宋体" w:hAnsi="Times New Roman" w:cs="Times New Roman"/>
                <w:b/>
                <w:bCs/>
              </w:rPr>
              <w:t>？</w:t>
            </w:r>
          </w:p>
          <w:p w14:paraId="473C0EA7" w14:textId="576B059B" w:rsidR="00315399" w:rsidRDefault="00A07A78" w:rsidP="003D491E">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8E6602">
              <w:rPr>
                <w:rFonts w:ascii="Times New Roman" w:eastAsia="宋体" w:hAnsi="Times New Roman" w:cs="Times New Roman" w:hint="eastAsia"/>
              </w:rPr>
              <w:t>公司第三</w:t>
            </w:r>
            <w:r w:rsidR="008E6602" w:rsidRPr="008E6602">
              <w:rPr>
                <w:rFonts w:ascii="Times New Roman" w:eastAsia="宋体" w:hAnsi="Times New Roman" w:cs="Times New Roman" w:hint="eastAsia"/>
              </w:rPr>
              <w:t>季度的经销商数量的环比增加主要源于空刻线下经销商的增加。经销商数量的增长也体现了</w:t>
            </w:r>
            <w:proofErr w:type="gramStart"/>
            <w:r w:rsidR="008E6602" w:rsidRPr="008E6602">
              <w:rPr>
                <w:rFonts w:ascii="Times New Roman" w:eastAsia="宋体" w:hAnsi="Times New Roman" w:cs="Times New Roman" w:hint="eastAsia"/>
              </w:rPr>
              <w:t>空刻自组建</w:t>
            </w:r>
            <w:proofErr w:type="gramEnd"/>
            <w:r w:rsidR="008E6602" w:rsidRPr="008E6602">
              <w:rPr>
                <w:rFonts w:ascii="Times New Roman" w:eastAsia="宋体" w:hAnsi="Times New Roman" w:cs="Times New Roman" w:hint="eastAsia"/>
              </w:rPr>
              <w:t>线下渠道团队以来，在线下开拓市场的成果。目前空刻线下渠道发展势头良好，线下收入占比也较去年</w:t>
            </w:r>
            <w:r w:rsidR="008E6602" w:rsidRPr="008E6602">
              <w:rPr>
                <w:rFonts w:ascii="Times New Roman" w:eastAsia="宋体" w:hAnsi="Times New Roman" w:cs="Times New Roman"/>
              </w:rPr>
              <w:t>10%</w:t>
            </w:r>
            <w:r w:rsidR="008E6602" w:rsidRPr="008E6602">
              <w:rPr>
                <w:rFonts w:ascii="Times New Roman" w:eastAsia="宋体" w:hAnsi="Times New Roman" w:cs="Times New Roman"/>
              </w:rPr>
              <w:t>左右份额有所成长，覆盖了主要</w:t>
            </w:r>
            <w:r w:rsidR="008E6602" w:rsidRPr="008E6602">
              <w:rPr>
                <w:rFonts w:ascii="Times New Roman" w:eastAsia="宋体" w:hAnsi="Times New Roman" w:cs="Times New Roman"/>
              </w:rPr>
              <w:t>KA</w:t>
            </w:r>
            <w:r w:rsidR="008E6602" w:rsidRPr="008E6602">
              <w:rPr>
                <w:rFonts w:ascii="Times New Roman" w:eastAsia="宋体" w:hAnsi="Times New Roman" w:cs="Times New Roman"/>
              </w:rPr>
              <w:lastRenderedPageBreak/>
              <w:t>渠道，同时也通过其他供应</w:t>
            </w:r>
            <w:proofErr w:type="gramStart"/>
            <w:r w:rsidR="008E6602" w:rsidRPr="008E6602">
              <w:rPr>
                <w:rFonts w:ascii="Times New Roman" w:eastAsia="宋体" w:hAnsi="Times New Roman" w:cs="Times New Roman"/>
              </w:rPr>
              <w:t>商渠道</w:t>
            </w:r>
            <w:proofErr w:type="gramEnd"/>
            <w:r w:rsidR="008E6602" w:rsidRPr="008E6602">
              <w:rPr>
                <w:rFonts w:ascii="Times New Roman" w:eastAsia="宋体" w:hAnsi="Times New Roman" w:cs="Times New Roman"/>
              </w:rPr>
              <w:t>去覆盖更广阔的线下市场。</w:t>
            </w:r>
            <w:proofErr w:type="gramStart"/>
            <w:r w:rsidR="008E6602" w:rsidRPr="008E6602">
              <w:rPr>
                <w:rFonts w:ascii="Times New Roman" w:eastAsia="宋体" w:hAnsi="Times New Roman" w:cs="Times New Roman"/>
              </w:rPr>
              <w:t>不同于线上</w:t>
            </w:r>
            <w:proofErr w:type="gramEnd"/>
            <w:r w:rsidR="008E6602" w:rsidRPr="008E6602">
              <w:rPr>
                <w:rFonts w:ascii="Times New Roman" w:eastAsia="宋体" w:hAnsi="Times New Roman" w:cs="Times New Roman"/>
              </w:rPr>
              <w:t>效果投放可以快速贡献订单，线下渠道拓展</w:t>
            </w:r>
            <w:r w:rsidR="008C2D8A">
              <w:rPr>
                <w:rFonts w:ascii="Times New Roman" w:eastAsia="宋体" w:hAnsi="Times New Roman" w:cs="Times New Roman" w:hint="eastAsia"/>
              </w:rPr>
              <w:t>需要</w:t>
            </w:r>
            <w:r w:rsidR="008E6602" w:rsidRPr="008E6602">
              <w:rPr>
                <w:rFonts w:ascii="Times New Roman" w:eastAsia="宋体" w:hAnsi="Times New Roman" w:cs="Times New Roman"/>
              </w:rPr>
              <w:t>一定周期且存在壁垒，因此空刻线下渠道取得现有成绩也反映了我们品牌的壁垒在逐渐形成。</w:t>
            </w:r>
          </w:p>
          <w:p w14:paraId="4168D59D" w14:textId="77777777" w:rsidR="008E6602" w:rsidRPr="0060354D" w:rsidRDefault="008E6602" w:rsidP="003D491E">
            <w:pPr>
              <w:spacing w:line="360" w:lineRule="auto"/>
              <w:ind w:firstLineChars="200" w:firstLine="420"/>
              <w:rPr>
                <w:rFonts w:ascii="Times New Roman" w:eastAsia="宋体" w:hAnsi="Times New Roman" w:cs="Times New Roman"/>
              </w:rPr>
            </w:pPr>
          </w:p>
          <w:p w14:paraId="359EDFAA" w14:textId="154F7387" w:rsidR="00A07A78" w:rsidRPr="0060354D" w:rsidRDefault="00A07A78" w:rsidP="00A07A78">
            <w:pPr>
              <w:spacing w:line="360" w:lineRule="auto"/>
              <w:rPr>
                <w:rFonts w:ascii="Times New Roman" w:eastAsia="宋体" w:hAnsi="Times New Roman" w:cs="Times New Roman"/>
                <w:b/>
                <w:bCs/>
              </w:rPr>
            </w:pPr>
            <w:r w:rsidRPr="0060354D">
              <w:rPr>
                <w:rFonts w:ascii="Times New Roman" w:eastAsia="宋体" w:hAnsi="Times New Roman" w:cs="Times New Roman"/>
                <w:b/>
                <w:bCs/>
              </w:rPr>
              <w:t>4</w:t>
            </w:r>
            <w:r w:rsidRPr="0060354D">
              <w:rPr>
                <w:rFonts w:ascii="Times New Roman" w:eastAsia="宋体" w:hAnsi="Times New Roman" w:cs="Times New Roman"/>
                <w:b/>
                <w:bCs/>
              </w:rPr>
              <w:t>、</w:t>
            </w:r>
            <w:r w:rsidR="008E6602" w:rsidRPr="008E6602">
              <w:rPr>
                <w:rFonts w:ascii="Times New Roman" w:eastAsia="宋体" w:hAnsi="Times New Roman" w:cs="Times New Roman" w:hint="eastAsia"/>
                <w:b/>
                <w:bCs/>
              </w:rPr>
              <w:t>空</w:t>
            </w:r>
            <w:proofErr w:type="gramStart"/>
            <w:r w:rsidR="008E6602" w:rsidRPr="008E6602">
              <w:rPr>
                <w:rFonts w:ascii="Times New Roman" w:eastAsia="宋体" w:hAnsi="Times New Roman" w:cs="Times New Roman" w:hint="eastAsia"/>
                <w:b/>
                <w:bCs/>
              </w:rPr>
              <w:t>刻今年</w:t>
            </w:r>
            <w:proofErr w:type="gramEnd"/>
            <w:r w:rsidR="008E6602" w:rsidRPr="008E6602">
              <w:rPr>
                <w:rFonts w:ascii="Times New Roman" w:eastAsia="宋体" w:hAnsi="Times New Roman" w:cs="Times New Roman" w:hint="eastAsia"/>
                <w:b/>
                <w:bCs/>
              </w:rPr>
              <w:t>推出的冲泡意面、烤肠等新品的市场表现情况如何？公司对新品后期如何规划</w:t>
            </w:r>
            <w:r w:rsidR="00E00106" w:rsidRPr="0060354D">
              <w:rPr>
                <w:rFonts w:ascii="Times New Roman" w:eastAsia="宋体" w:hAnsi="Times New Roman" w:cs="Times New Roman"/>
                <w:b/>
                <w:bCs/>
              </w:rPr>
              <w:t>？</w:t>
            </w:r>
          </w:p>
          <w:p w14:paraId="6C7F530E" w14:textId="75A0CDEC" w:rsidR="00315399" w:rsidRDefault="00A07A78" w:rsidP="003D491E">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8E6602" w:rsidRPr="008E6602">
              <w:rPr>
                <w:rFonts w:ascii="Times New Roman" w:eastAsia="宋体" w:hAnsi="Times New Roman" w:cs="Times New Roman" w:hint="eastAsia"/>
              </w:rPr>
              <w:t>未来</w:t>
            </w:r>
            <w:r w:rsidR="006E0BB2">
              <w:rPr>
                <w:rFonts w:ascii="Times New Roman" w:eastAsia="宋体" w:hAnsi="Times New Roman" w:cs="Times New Roman" w:hint="eastAsia"/>
              </w:rPr>
              <w:t>公司</w:t>
            </w:r>
            <w:r w:rsidR="008E6602" w:rsidRPr="008E6602">
              <w:rPr>
                <w:rFonts w:ascii="Times New Roman" w:eastAsia="宋体" w:hAnsi="Times New Roman" w:cs="Times New Roman" w:hint="eastAsia"/>
              </w:rPr>
              <w:t>会结合市场需求推出更多新品，在新品领域打开成长空间。今年</w:t>
            </w:r>
            <w:r w:rsidR="006E0BB2">
              <w:rPr>
                <w:rFonts w:ascii="Times New Roman" w:eastAsia="宋体" w:hAnsi="Times New Roman" w:cs="Times New Roman" w:hint="eastAsia"/>
              </w:rPr>
              <w:t>空刻</w:t>
            </w:r>
            <w:r w:rsidR="008E6602" w:rsidRPr="008E6602">
              <w:rPr>
                <w:rFonts w:ascii="Times New Roman" w:eastAsia="宋体" w:hAnsi="Times New Roman" w:cs="Times New Roman" w:hint="eastAsia"/>
              </w:rPr>
              <w:t>陆续推出的冲泡意面、</w:t>
            </w:r>
            <w:proofErr w:type="gramStart"/>
            <w:r w:rsidR="008E6602" w:rsidRPr="008E6602">
              <w:rPr>
                <w:rFonts w:ascii="Times New Roman" w:eastAsia="宋体" w:hAnsi="Times New Roman" w:cs="Times New Roman" w:hint="eastAsia"/>
              </w:rPr>
              <w:t>爆汁纯肉肠</w:t>
            </w:r>
            <w:proofErr w:type="gramEnd"/>
            <w:r w:rsidR="008E6602" w:rsidRPr="008E6602">
              <w:rPr>
                <w:rFonts w:ascii="Times New Roman" w:eastAsia="宋体" w:hAnsi="Times New Roman" w:cs="Times New Roman" w:hint="eastAsia"/>
              </w:rPr>
              <w:t>、蟹黄意面以及营销推广的番茄沙司、海盐黑胡椒调味系列等新品，都获得了不错的市场</w:t>
            </w:r>
            <w:r w:rsidR="007B249B">
              <w:rPr>
                <w:rFonts w:ascii="Times New Roman" w:eastAsia="宋体" w:hAnsi="Times New Roman" w:cs="Times New Roman" w:hint="eastAsia"/>
              </w:rPr>
              <w:t>反馈</w:t>
            </w:r>
            <w:r w:rsidR="008E6602" w:rsidRPr="008E6602">
              <w:rPr>
                <w:rFonts w:ascii="Times New Roman" w:eastAsia="宋体" w:hAnsi="Times New Roman" w:cs="Times New Roman" w:hint="eastAsia"/>
              </w:rPr>
              <w:t>。其中冲泡意面将速食意面的消费场景进行了补充，同时也将空刻的产品价格带进一步拓宽；</w:t>
            </w:r>
            <w:proofErr w:type="gramStart"/>
            <w:r w:rsidR="008E6602" w:rsidRPr="008E6602">
              <w:rPr>
                <w:rFonts w:ascii="Times New Roman" w:eastAsia="宋体" w:hAnsi="Times New Roman" w:cs="Times New Roman" w:hint="eastAsia"/>
              </w:rPr>
              <w:t>爆汁纯肉肠</w:t>
            </w:r>
            <w:proofErr w:type="gramEnd"/>
            <w:r w:rsidR="008E6602" w:rsidRPr="008E6602">
              <w:rPr>
                <w:rFonts w:ascii="Times New Roman" w:eastAsia="宋体" w:hAnsi="Times New Roman" w:cs="Times New Roman" w:hint="eastAsia"/>
              </w:rPr>
              <w:t>系冷冻产品，也体现了空刻的产品能力从常温产品进一步提升丰富到冷藏冷冻产品，公司产品的能力边界</w:t>
            </w:r>
            <w:r w:rsidR="007B249B">
              <w:rPr>
                <w:rFonts w:ascii="Times New Roman" w:eastAsia="宋体" w:hAnsi="Times New Roman" w:cs="Times New Roman" w:hint="eastAsia"/>
              </w:rPr>
              <w:t>在</w:t>
            </w:r>
            <w:r w:rsidR="008E6602" w:rsidRPr="008E6602">
              <w:rPr>
                <w:rFonts w:ascii="Times New Roman" w:eastAsia="宋体" w:hAnsi="Times New Roman" w:cs="Times New Roman" w:hint="eastAsia"/>
              </w:rPr>
              <w:t>不断突破。</w:t>
            </w:r>
          </w:p>
          <w:p w14:paraId="0B09E250" w14:textId="77777777" w:rsidR="008E6602" w:rsidRPr="0060354D" w:rsidRDefault="008E6602" w:rsidP="003D491E">
            <w:pPr>
              <w:spacing w:line="360" w:lineRule="auto"/>
              <w:ind w:firstLineChars="200" w:firstLine="420"/>
              <w:rPr>
                <w:rFonts w:ascii="Times New Roman" w:eastAsia="宋体" w:hAnsi="Times New Roman" w:cs="Times New Roman"/>
              </w:rPr>
            </w:pPr>
          </w:p>
          <w:p w14:paraId="6BC81403" w14:textId="105F1DEA" w:rsidR="00A07A78" w:rsidRPr="0060354D" w:rsidRDefault="00A07A78" w:rsidP="00A07A78">
            <w:pPr>
              <w:spacing w:line="360" w:lineRule="auto"/>
              <w:rPr>
                <w:rFonts w:ascii="Times New Roman" w:eastAsia="宋体" w:hAnsi="Times New Roman" w:cs="Times New Roman"/>
                <w:b/>
                <w:bCs/>
              </w:rPr>
            </w:pPr>
            <w:r w:rsidRPr="0060354D">
              <w:rPr>
                <w:rFonts w:ascii="Times New Roman" w:eastAsia="宋体" w:hAnsi="Times New Roman" w:cs="Times New Roman"/>
                <w:b/>
                <w:bCs/>
              </w:rPr>
              <w:t>5</w:t>
            </w:r>
            <w:r w:rsidRPr="0060354D">
              <w:rPr>
                <w:rFonts w:ascii="Times New Roman" w:eastAsia="宋体" w:hAnsi="Times New Roman" w:cs="Times New Roman"/>
                <w:b/>
                <w:bCs/>
              </w:rPr>
              <w:t>、</w:t>
            </w:r>
            <w:r w:rsidR="007B249B" w:rsidRPr="007B249B">
              <w:rPr>
                <w:rFonts w:ascii="Times New Roman" w:eastAsia="宋体" w:hAnsi="Times New Roman" w:cs="Times New Roman" w:hint="eastAsia"/>
                <w:b/>
                <w:bCs/>
              </w:rPr>
              <w:t>政策利好下市场的收并购热度提升，公司是否有这方面的考虑</w:t>
            </w:r>
            <w:r w:rsidR="006E1D95" w:rsidRPr="0060354D">
              <w:rPr>
                <w:rFonts w:ascii="Times New Roman" w:eastAsia="宋体" w:hAnsi="Times New Roman" w:cs="Times New Roman"/>
                <w:b/>
                <w:bCs/>
              </w:rPr>
              <w:t>？</w:t>
            </w:r>
          </w:p>
          <w:p w14:paraId="11233105" w14:textId="6406036B" w:rsidR="00315399" w:rsidRDefault="00A07A78" w:rsidP="00236273">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895D51" w:rsidRPr="007B249B">
              <w:rPr>
                <w:rFonts w:ascii="Times New Roman" w:eastAsia="宋体" w:hAnsi="Times New Roman" w:cs="Times New Roman" w:hint="eastAsia"/>
              </w:rPr>
              <w:t>外延式并购是企业实现增长的重要方式，公司会根据行业情况并立足公司主业去关注合适</w:t>
            </w:r>
            <w:r w:rsidR="00EC7BD8">
              <w:rPr>
                <w:rFonts w:ascii="Times New Roman" w:eastAsia="宋体" w:hAnsi="Times New Roman" w:cs="Times New Roman" w:hint="eastAsia"/>
              </w:rPr>
              <w:t>的</w:t>
            </w:r>
            <w:r w:rsidR="00895D51" w:rsidRPr="007B249B">
              <w:rPr>
                <w:rFonts w:ascii="Times New Roman" w:eastAsia="宋体" w:hAnsi="Times New Roman" w:cs="Times New Roman" w:hint="eastAsia"/>
              </w:rPr>
              <w:t>标的。</w:t>
            </w:r>
            <w:r w:rsidR="006E0BB2">
              <w:rPr>
                <w:rFonts w:ascii="Times New Roman" w:eastAsia="宋体" w:hAnsi="Times New Roman" w:cs="Times New Roman" w:hint="eastAsia"/>
              </w:rPr>
              <w:t>公司在考虑收并购项目时，</w:t>
            </w:r>
            <w:r w:rsidR="006E0BB2" w:rsidRPr="007B249B">
              <w:rPr>
                <w:rFonts w:ascii="Times New Roman" w:eastAsia="宋体" w:hAnsi="Times New Roman" w:cs="Times New Roman"/>
              </w:rPr>
              <w:t>更为关注项目</w:t>
            </w:r>
            <w:r w:rsidR="00EC7BD8">
              <w:rPr>
                <w:rFonts w:ascii="Times New Roman" w:eastAsia="宋体" w:hAnsi="Times New Roman" w:cs="Times New Roman" w:hint="eastAsia"/>
              </w:rPr>
              <w:t>与</w:t>
            </w:r>
            <w:r w:rsidR="006E0BB2" w:rsidRPr="007B249B">
              <w:rPr>
                <w:rFonts w:ascii="Times New Roman" w:eastAsia="宋体" w:hAnsi="Times New Roman" w:cs="Times New Roman"/>
              </w:rPr>
              <w:t>公司主业的协同性</w:t>
            </w:r>
            <w:r w:rsidR="00EC7BD8">
              <w:rPr>
                <w:rFonts w:ascii="Times New Roman" w:eastAsia="宋体" w:hAnsi="Times New Roman" w:cs="Times New Roman" w:hint="eastAsia"/>
              </w:rPr>
              <w:t>和</w:t>
            </w:r>
            <w:r w:rsidR="006E0BB2" w:rsidRPr="007B249B">
              <w:rPr>
                <w:rFonts w:ascii="Times New Roman" w:eastAsia="宋体" w:hAnsi="Times New Roman" w:cs="Times New Roman"/>
              </w:rPr>
              <w:t>适配性</w:t>
            </w:r>
            <w:r w:rsidR="006E0BB2">
              <w:rPr>
                <w:rFonts w:ascii="Times New Roman" w:eastAsia="宋体" w:hAnsi="Times New Roman" w:cs="Times New Roman" w:hint="eastAsia"/>
              </w:rPr>
              <w:t>，</w:t>
            </w:r>
            <w:r w:rsidR="007B249B" w:rsidRPr="007B249B">
              <w:rPr>
                <w:rFonts w:ascii="Times New Roman" w:eastAsia="宋体" w:hAnsi="Times New Roman" w:cs="Times New Roman" w:hint="eastAsia"/>
              </w:rPr>
              <w:t>纵向关注产业链整合机会，寻找产业链上游布局切入点</w:t>
            </w:r>
            <w:r w:rsidR="006E0BB2">
              <w:rPr>
                <w:rFonts w:ascii="Times New Roman" w:eastAsia="宋体" w:hAnsi="Times New Roman" w:cs="Times New Roman" w:hint="eastAsia"/>
              </w:rPr>
              <w:t>，</w:t>
            </w:r>
            <w:r w:rsidR="007B249B" w:rsidRPr="007B249B">
              <w:rPr>
                <w:rFonts w:ascii="Times New Roman" w:eastAsia="宋体" w:hAnsi="Times New Roman" w:cs="Times New Roman" w:hint="eastAsia"/>
              </w:rPr>
              <w:t>横向关注</w:t>
            </w:r>
            <w:r w:rsidR="006E0BB2">
              <w:rPr>
                <w:rFonts w:ascii="Times New Roman" w:eastAsia="宋体" w:hAnsi="Times New Roman" w:cs="Times New Roman" w:hint="eastAsia"/>
              </w:rPr>
              <w:t>同业产品品类的扩充</w:t>
            </w:r>
            <w:r w:rsidR="007B249B" w:rsidRPr="007B249B">
              <w:rPr>
                <w:rFonts w:ascii="Times New Roman" w:eastAsia="宋体" w:hAnsi="Times New Roman" w:cs="Times New Roman"/>
              </w:rPr>
              <w:t>。公司未来考虑</w:t>
            </w:r>
            <w:proofErr w:type="gramStart"/>
            <w:r w:rsidR="00FB3FFC">
              <w:rPr>
                <w:rFonts w:ascii="Times New Roman" w:eastAsia="宋体" w:hAnsi="Times New Roman" w:cs="Times New Roman" w:hint="eastAsia"/>
              </w:rPr>
              <w:t>进行</w:t>
            </w:r>
            <w:r w:rsidR="007B249B" w:rsidRPr="007B249B">
              <w:rPr>
                <w:rFonts w:ascii="Times New Roman" w:eastAsia="宋体" w:hAnsi="Times New Roman" w:cs="Times New Roman"/>
              </w:rPr>
              <w:t>收并购</w:t>
            </w:r>
            <w:proofErr w:type="gramEnd"/>
            <w:r w:rsidR="007B249B" w:rsidRPr="007B249B">
              <w:rPr>
                <w:rFonts w:ascii="Times New Roman" w:eastAsia="宋体" w:hAnsi="Times New Roman" w:cs="Times New Roman"/>
              </w:rPr>
              <w:t>的初衷是借助资本运作做大做强公司</w:t>
            </w:r>
            <w:r w:rsidR="00C93D77">
              <w:rPr>
                <w:rFonts w:ascii="Times New Roman" w:eastAsia="宋体" w:hAnsi="Times New Roman" w:cs="Times New Roman" w:hint="eastAsia"/>
              </w:rPr>
              <w:t>。</w:t>
            </w:r>
            <w:r w:rsidR="0036324B">
              <w:rPr>
                <w:rFonts w:ascii="Times New Roman" w:eastAsia="宋体" w:hAnsi="Times New Roman" w:cs="Times New Roman" w:hint="eastAsia"/>
              </w:rPr>
              <w:t>根据企业发展实际需求，公司会</w:t>
            </w:r>
            <w:r w:rsidR="00622C4A" w:rsidRPr="00622C4A">
              <w:rPr>
                <w:rFonts w:ascii="Times New Roman" w:eastAsia="宋体" w:hAnsi="Times New Roman" w:cs="Times New Roman" w:hint="eastAsia"/>
              </w:rPr>
              <w:t>理性筛选和决策</w:t>
            </w:r>
            <w:r w:rsidR="00236273">
              <w:rPr>
                <w:rFonts w:ascii="Times New Roman" w:eastAsia="宋体" w:hAnsi="Times New Roman" w:cs="Times New Roman" w:hint="eastAsia"/>
              </w:rPr>
              <w:t>收</w:t>
            </w:r>
            <w:r w:rsidR="00622C4A" w:rsidRPr="00622C4A">
              <w:rPr>
                <w:rFonts w:ascii="Times New Roman" w:eastAsia="宋体" w:hAnsi="Times New Roman" w:cs="Times New Roman" w:hint="eastAsia"/>
              </w:rPr>
              <w:t>并购项目</w:t>
            </w:r>
            <w:r w:rsidR="006E0BB2">
              <w:rPr>
                <w:rFonts w:ascii="Times New Roman" w:eastAsia="宋体" w:hAnsi="Times New Roman" w:cs="Times New Roman" w:hint="eastAsia"/>
              </w:rPr>
              <w:t>，</w:t>
            </w:r>
            <w:r w:rsidR="00622C4A">
              <w:rPr>
                <w:rFonts w:ascii="Times New Roman" w:eastAsia="宋体" w:hAnsi="Times New Roman" w:cs="Times New Roman" w:hint="eastAsia"/>
              </w:rPr>
              <w:t>通过外延式并购</w:t>
            </w:r>
            <w:r w:rsidR="00236273">
              <w:rPr>
                <w:rFonts w:ascii="Times New Roman" w:eastAsia="宋体" w:hAnsi="Times New Roman" w:cs="Times New Roman" w:hint="eastAsia"/>
              </w:rPr>
              <w:t>等方式高效</w:t>
            </w:r>
            <w:r w:rsidR="00622C4A">
              <w:rPr>
                <w:rFonts w:ascii="Times New Roman" w:eastAsia="宋体" w:hAnsi="Times New Roman" w:cs="Times New Roman" w:hint="eastAsia"/>
              </w:rPr>
              <w:t>整合产业链资源，优化资源配置，</w:t>
            </w:r>
            <w:r w:rsidR="00236273">
              <w:rPr>
                <w:rFonts w:ascii="Times New Roman" w:eastAsia="宋体" w:hAnsi="Times New Roman" w:cs="Times New Roman" w:hint="eastAsia"/>
              </w:rPr>
              <w:t>提升公司的综合竞争力和市场地位，促进公司的持续发展。</w:t>
            </w:r>
          </w:p>
          <w:p w14:paraId="449E56DC" w14:textId="77777777" w:rsidR="007B249B" w:rsidRPr="0060354D" w:rsidRDefault="007B249B" w:rsidP="003D491E">
            <w:pPr>
              <w:spacing w:line="360" w:lineRule="auto"/>
              <w:ind w:firstLineChars="200" w:firstLine="420"/>
              <w:rPr>
                <w:rFonts w:ascii="Times New Roman" w:eastAsia="宋体" w:hAnsi="Times New Roman" w:cs="Times New Roman"/>
              </w:rPr>
            </w:pPr>
          </w:p>
          <w:p w14:paraId="304D50FA" w14:textId="60C06DCE" w:rsidR="00A07A78" w:rsidRPr="0060354D" w:rsidRDefault="00A07A78" w:rsidP="00A07A78">
            <w:pPr>
              <w:spacing w:line="360" w:lineRule="auto"/>
              <w:rPr>
                <w:rFonts w:ascii="Times New Roman" w:eastAsia="宋体" w:hAnsi="Times New Roman" w:cs="Times New Roman"/>
                <w:b/>
                <w:bCs/>
              </w:rPr>
            </w:pPr>
            <w:r w:rsidRPr="0060354D">
              <w:rPr>
                <w:rFonts w:ascii="Times New Roman" w:eastAsia="宋体" w:hAnsi="Times New Roman" w:cs="Times New Roman"/>
                <w:b/>
                <w:bCs/>
              </w:rPr>
              <w:t>6</w:t>
            </w:r>
            <w:r w:rsidRPr="0060354D">
              <w:rPr>
                <w:rFonts w:ascii="Times New Roman" w:eastAsia="宋体" w:hAnsi="Times New Roman" w:cs="Times New Roman"/>
                <w:b/>
                <w:bCs/>
              </w:rPr>
              <w:t>、</w:t>
            </w:r>
            <w:r w:rsidR="007B249B" w:rsidRPr="007B249B">
              <w:rPr>
                <w:rFonts w:ascii="Times New Roman" w:eastAsia="宋体" w:hAnsi="Times New Roman" w:cs="Times New Roman" w:hint="eastAsia"/>
                <w:b/>
                <w:bCs/>
              </w:rPr>
              <w:t>请问浙江宝立合资后的经营情况以及和百胜的合作进展</w:t>
            </w:r>
            <w:r w:rsidR="00FA75B4" w:rsidRPr="0060354D">
              <w:rPr>
                <w:rFonts w:ascii="Times New Roman" w:eastAsia="宋体" w:hAnsi="Times New Roman" w:cs="Times New Roman"/>
                <w:b/>
                <w:bCs/>
              </w:rPr>
              <w:t>？</w:t>
            </w:r>
          </w:p>
          <w:p w14:paraId="0AF6F054" w14:textId="2B02148B" w:rsidR="007B249B" w:rsidRDefault="00A07A78" w:rsidP="007B249B">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7B249B" w:rsidRPr="007B249B">
              <w:rPr>
                <w:rFonts w:ascii="Times New Roman" w:eastAsia="宋体" w:hAnsi="Times New Roman" w:cs="Times New Roman" w:hint="eastAsia"/>
              </w:rPr>
              <w:t>目前浙江宝立的经营情况正常，业绩方面有正向成长。百胜中国目前既是公司的第一大客户，同时在浙江宝立的主体上与公司进行了股权合作。公司目前和百胜中国的合作常态化开展，研发、</w:t>
            </w:r>
            <w:r w:rsidR="007B249B" w:rsidRPr="007B249B">
              <w:rPr>
                <w:rFonts w:ascii="Times New Roman" w:eastAsia="宋体" w:hAnsi="Times New Roman" w:cs="Times New Roman" w:hint="eastAsia"/>
              </w:rPr>
              <w:lastRenderedPageBreak/>
              <w:t>供应链等项目也在有序推进中。公司和百</w:t>
            </w:r>
            <w:proofErr w:type="gramStart"/>
            <w:r w:rsidR="007B249B" w:rsidRPr="007B249B">
              <w:rPr>
                <w:rFonts w:ascii="Times New Roman" w:eastAsia="宋体" w:hAnsi="Times New Roman" w:cs="Times New Roman" w:hint="eastAsia"/>
              </w:rPr>
              <w:t>胜双方</w:t>
            </w:r>
            <w:proofErr w:type="gramEnd"/>
            <w:r w:rsidR="007B249B" w:rsidRPr="007B249B">
              <w:rPr>
                <w:rFonts w:ascii="Times New Roman" w:eastAsia="宋体" w:hAnsi="Times New Roman" w:cs="Times New Roman" w:hint="eastAsia"/>
              </w:rPr>
              <w:t>都是基于长线合作的逻辑，未来的合作前景也值得期待。</w:t>
            </w:r>
          </w:p>
          <w:p w14:paraId="09DAECCB" w14:textId="77777777" w:rsidR="007B249B" w:rsidRDefault="007B249B" w:rsidP="007B249B">
            <w:pPr>
              <w:spacing w:line="360" w:lineRule="auto"/>
              <w:ind w:firstLineChars="200" w:firstLine="420"/>
              <w:rPr>
                <w:rFonts w:ascii="Times New Roman" w:eastAsia="宋体" w:hAnsi="Times New Roman" w:cs="Times New Roman"/>
              </w:rPr>
            </w:pPr>
          </w:p>
          <w:p w14:paraId="663AA2F4" w14:textId="2A91116C" w:rsidR="007B249B" w:rsidRDefault="007B249B" w:rsidP="00785460">
            <w:pPr>
              <w:spacing w:line="360" w:lineRule="auto"/>
              <w:rPr>
                <w:rFonts w:ascii="Times New Roman" w:eastAsia="宋体" w:hAnsi="Times New Roman" w:cs="Times New Roman"/>
                <w:b/>
                <w:bCs/>
              </w:rPr>
            </w:pPr>
            <w:r>
              <w:rPr>
                <w:rFonts w:ascii="Times New Roman" w:eastAsia="宋体" w:hAnsi="Times New Roman" w:cs="Times New Roman" w:hint="eastAsia"/>
                <w:b/>
                <w:bCs/>
              </w:rPr>
              <w:t>7</w:t>
            </w:r>
            <w:r w:rsidRPr="0060354D">
              <w:rPr>
                <w:rFonts w:ascii="Times New Roman" w:eastAsia="宋体" w:hAnsi="Times New Roman" w:cs="Times New Roman"/>
                <w:b/>
                <w:bCs/>
              </w:rPr>
              <w:t>、</w:t>
            </w:r>
            <w:r>
              <w:rPr>
                <w:rFonts w:ascii="Times New Roman" w:eastAsia="宋体" w:hAnsi="Times New Roman" w:cs="Times New Roman" w:hint="eastAsia"/>
                <w:b/>
                <w:bCs/>
              </w:rPr>
              <w:t>请介绍</w:t>
            </w:r>
            <w:r w:rsidRPr="007B249B">
              <w:rPr>
                <w:rFonts w:ascii="Times New Roman" w:eastAsia="宋体" w:hAnsi="Times New Roman" w:cs="Times New Roman" w:hint="eastAsia"/>
                <w:b/>
                <w:bCs/>
              </w:rPr>
              <w:t>公司对中式餐饮业务的布局</w:t>
            </w:r>
            <w:r>
              <w:rPr>
                <w:rFonts w:ascii="Times New Roman" w:eastAsia="宋体" w:hAnsi="Times New Roman" w:cs="Times New Roman" w:hint="eastAsia"/>
                <w:b/>
                <w:bCs/>
              </w:rPr>
              <w:t>规划。</w:t>
            </w:r>
          </w:p>
          <w:p w14:paraId="1107CA0C" w14:textId="3DCAE184" w:rsidR="005963B0" w:rsidRDefault="007B249B" w:rsidP="00A67B42">
            <w:pPr>
              <w:spacing w:line="360" w:lineRule="auto"/>
              <w:ind w:firstLineChars="200" w:firstLine="420"/>
              <w:rPr>
                <w:rFonts w:ascii="Times New Roman" w:eastAsia="宋体" w:hAnsi="Times New Roman" w:cs="Times New Roman"/>
              </w:rPr>
            </w:pPr>
            <w:r w:rsidRPr="0060354D">
              <w:rPr>
                <w:rFonts w:ascii="Times New Roman" w:eastAsia="宋体" w:hAnsi="Times New Roman" w:cs="Times New Roman"/>
              </w:rPr>
              <w:t>回复：</w:t>
            </w:r>
            <w:r w:rsidR="00FF405A">
              <w:rPr>
                <w:rFonts w:ascii="Times New Roman" w:eastAsia="宋体" w:hAnsi="Times New Roman" w:cs="Times New Roman" w:hint="eastAsia"/>
              </w:rPr>
              <w:t>因</w:t>
            </w:r>
            <w:r w:rsidR="006E0BB2" w:rsidRPr="007B249B">
              <w:rPr>
                <w:rFonts w:ascii="Times New Roman" w:eastAsia="宋体" w:hAnsi="Times New Roman" w:cs="Times New Roman" w:hint="eastAsia"/>
              </w:rPr>
              <w:t>公司整体产能情况趋紧</w:t>
            </w:r>
            <w:r w:rsidR="006E0BB2">
              <w:rPr>
                <w:rFonts w:ascii="Times New Roman" w:eastAsia="宋体" w:hAnsi="Times New Roman" w:cs="Times New Roman" w:hint="eastAsia"/>
              </w:rPr>
              <w:t>，</w:t>
            </w:r>
            <w:r w:rsidR="00556829">
              <w:rPr>
                <w:rFonts w:ascii="Times New Roman" w:eastAsia="宋体" w:hAnsi="Times New Roman" w:cs="Times New Roman" w:hint="eastAsia"/>
              </w:rPr>
              <w:t>现阶段</w:t>
            </w:r>
            <w:r w:rsidR="006E0BB2">
              <w:rPr>
                <w:rFonts w:ascii="Times New Roman" w:eastAsia="宋体" w:hAnsi="Times New Roman" w:cs="Times New Roman" w:hint="eastAsia"/>
              </w:rPr>
              <w:t>标准化程度更高的西式连锁餐饮客户产品</w:t>
            </w:r>
            <w:r w:rsidR="00FF405A">
              <w:rPr>
                <w:rFonts w:ascii="Times New Roman" w:eastAsia="宋体" w:hAnsi="Times New Roman" w:cs="Times New Roman" w:hint="eastAsia"/>
              </w:rPr>
              <w:t>于公司而言更具经营效率，因此在收入方面</w:t>
            </w:r>
            <w:r w:rsidR="005963B0">
              <w:rPr>
                <w:rFonts w:ascii="Times New Roman" w:eastAsia="宋体" w:hAnsi="Times New Roman" w:cs="Times New Roman" w:hint="eastAsia"/>
              </w:rPr>
              <w:t>体现出</w:t>
            </w:r>
            <w:r w:rsidR="00FF405A">
              <w:rPr>
                <w:rFonts w:ascii="Times New Roman" w:eastAsia="宋体" w:hAnsi="Times New Roman" w:cs="Times New Roman" w:hint="eastAsia"/>
              </w:rPr>
              <w:t>西式餐饮客户的贡献率更高。公司</w:t>
            </w:r>
            <w:r w:rsidR="00A67B42">
              <w:rPr>
                <w:rFonts w:ascii="Times New Roman" w:eastAsia="宋体" w:hAnsi="Times New Roman" w:cs="Times New Roman" w:hint="eastAsia"/>
              </w:rPr>
              <w:t>同样</w:t>
            </w:r>
            <w:r w:rsidR="00FF405A">
              <w:rPr>
                <w:rFonts w:ascii="Times New Roman" w:eastAsia="宋体" w:hAnsi="Times New Roman" w:cs="Times New Roman" w:hint="eastAsia"/>
              </w:rPr>
              <w:t>重视中式餐饮业务的成长空间，</w:t>
            </w:r>
            <w:r w:rsidRPr="007B249B">
              <w:rPr>
                <w:rFonts w:ascii="Times New Roman" w:eastAsia="宋体" w:hAnsi="Times New Roman" w:cs="Times New Roman" w:hint="eastAsia"/>
              </w:rPr>
              <w:t>也开拓了很多中式餐饮客户，且部分中式餐饮客户的成长速度也令市场欣喜；公司</w:t>
            </w:r>
            <w:r w:rsidR="005963B0">
              <w:rPr>
                <w:rFonts w:ascii="Times New Roman" w:eastAsia="宋体" w:hAnsi="Times New Roman" w:cs="Times New Roman" w:hint="eastAsia"/>
              </w:rPr>
              <w:t>同时</w:t>
            </w:r>
            <w:r w:rsidRPr="007B249B">
              <w:rPr>
                <w:rFonts w:ascii="Times New Roman" w:eastAsia="宋体" w:hAnsi="Times New Roman" w:cs="Times New Roman" w:hint="eastAsia"/>
              </w:rPr>
              <w:t>配合部分西式连锁餐饮客户研发、生产了中式口味产品，以满足其迎合本土化口味的需求。</w:t>
            </w:r>
          </w:p>
          <w:p w14:paraId="6D8489A6" w14:textId="43CA5114" w:rsidR="005963B0" w:rsidRDefault="005963B0" w:rsidP="00A67B42">
            <w:pPr>
              <w:spacing w:line="360" w:lineRule="auto"/>
              <w:ind w:firstLineChars="200" w:firstLine="420"/>
              <w:rPr>
                <w:rFonts w:ascii="Times New Roman" w:eastAsia="宋体" w:hAnsi="Times New Roman" w:cs="Times New Roman"/>
              </w:rPr>
            </w:pPr>
            <w:r w:rsidRPr="005963B0">
              <w:rPr>
                <w:rFonts w:ascii="Times New Roman" w:eastAsia="宋体" w:hAnsi="Times New Roman" w:cs="Times New Roman" w:hint="eastAsia"/>
              </w:rPr>
              <w:t>公司</w:t>
            </w:r>
            <w:r>
              <w:rPr>
                <w:rFonts w:ascii="Times New Roman" w:eastAsia="宋体" w:hAnsi="Times New Roman" w:cs="Times New Roman" w:hint="eastAsia"/>
              </w:rPr>
              <w:t>具备同时服务</w:t>
            </w:r>
            <w:r w:rsidRPr="005963B0">
              <w:rPr>
                <w:rFonts w:ascii="Times New Roman" w:eastAsia="宋体" w:hAnsi="Times New Roman" w:cs="Times New Roman" w:hint="eastAsia"/>
              </w:rPr>
              <w:t>中、西式餐饮</w:t>
            </w:r>
            <w:r>
              <w:rPr>
                <w:rFonts w:ascii="Times New Roman" w:eastAsia="宋体" w:hAnsi="Times New Roman" w:cs="Times New Roman" w:hint="eastAsia"/>
              </w:rPr>
              <w:t>客户的能力和团队。</w:t>
            </w:r>
            <w:r w:rsidRPr="005963B0">
              <w:rPr>
                <w:rFonts w:ascii="Times New Roman" w:eastAsia="宋体" w:hAnsi="Times New Roman" w:cs="Times New Roman" w:hint="eastAsia"/>
              </w:rPr>
              <w:t>在中式餐饮领域，公司</w:t>
            </w:r>
            <w:r>
              <w:rPr>
                <w:rFonts w:ascii="Times New Roman" w:eastAsia="宋体" w:hAnsi="Times New Roman" w:cs="Times New Roman" w:hint="eastAsia"/>
              </w:rPr>
              <w:t>已经进行了市场布局</w:t>
            </w:r>
            <w:r w:rsidRPr="005963B0">
              <w:rPr>
                <w:rFonts w:ascii="Times New Roman" w:eastAsia="宋体" w:hAnsi="Times New Roman" w:cs="Times New Roman" w:hint="eastAsia"/>
              </w:rPr>
              <w:t>。随着国内中式餐饮行业的连锁化和标准化水平持续提高，以及公司</w:t>
            </w:r>
            <w:r>
              <w:rPr>
                <w:rFonts w:ascii="Times New Roman" w:eastAsia="宋体" w:hAnsi="Times New Roman" w:cs="Times New Roman" w:hint="eastAsia"/>
              </w:rPr>
              <w:t>对</w:t>
            </w:r>
            <w:r w:rsidRPr="005963B0">
              <w:rPr>
                <w:rFonts w:ascii="Times New Roman" w:eastAsia="宋体" w:hAnsi="Times New Roman" w:cs="Times New Roman" w:hint="eastAsia"/>
              </w:rPr>
              <w:t>中餐客户群体</w:t>
            </w:r>
            <w:r>
              <w:rPr>
                <w:rFonts w:ascii="Times New Roman" w:eastAsia="宋体" w:hAnsi="Times New Roman" w:cs="Times New Roman" w:hint="eastAsia"/>
              </w:rPr>
              <w:t>的持续开拓</w:t>
            </w:r>
            <w:r w:rsidRPr="005963B0">
              <w:rPr>
                <w:rFonts w:ascii="Times New Roman" w:eastAsia="宋体" w:hAnsi="Times New Roman" w:cs="Times New Roman" w:hint="eastAsia"/>
              </w:rPr>
              <w:t>，未来</w:t>
            </w:r>
            <w:r w:rsidR="002E10CC">
              <w:rPr>
                <w:rFonts w:ascii="Times New Roman" w:eastAsia="宋体" w:hAnsi="Times New Roman" w:cs="Times New Roman" w:hint="eastAsia"/>
              </w:rPr>
              <w:t>公司在</w:t>
            </w:r>
            <w:r w:rsidRPr="005963B0">
              <w:rPr>
                <w:rFonts w:ascii="Times New Roman" w:eastAsia="宋体" w:hAnsi="Times New Roman" w:cs="Times New Roman" w:hint="eastAsia"/>
              </w:rPr>
              <w:t>中式餐饮市场</w:t>
            </w:r>
            <w:r w:rsidR="002E10CC">
              <w:rPr>
                <w:rFonts w:ascii="Times New Roman" w:eastAsia="宋体" w:hAnsi="Times New Roman" w:cs="Times New Roman" w:hint="eastAsia"/>
              </w:rPr>
              <w:t>也会有</w:t>
            </w:r>
            <w:r w:rsidRPr="005963B0">
              <w:rPr>
                <w:rFonts w:ascii="Times New Roman" w:eastAsia="宋体" w:hAnsi="Times New Roman" w:cs="Times New Roman" w:hint="eastAsia"/>
              </w:rPr>
              <w:t>更多商机。</w:t>
            </w:r>
          </w:p>
          <w:p w14:paraId="5B1590BC" w14:textId="77777777" w:rsidR="007B249B" w:rsidRDefault="007B249B" w:rsidP="007B249B">
            <w:pPr>
              <w:spacing w:line="360" w:lineRule="auto"/>
              <w:ind w:firstLineChars="200" w:firstLine="422"/>
              <w:rPr>
                <w:rFonts w:ascii="Times New Roman" w:eastAsia="宋体" w:hAnsi="Times New Roman" w:cs="Times New Roman"/>
                <w:b/>
                <w:bCs/>
              </w:rPr>
            </w:pPr>
          </w:p>
          <w:p w14:paraId="0604520C" w14:textId="77777777" w:rsidR="007B249B" w:rsidRDefault="007B249B" w:rsidP="00785460">
            <w:pPr>
              <w:spacing w:line="360" w:lineRule="auto"/>
              <w:rPr>
                <w:rFonts w:ascii="Times New Roman" w:eastAsia="宋体" w:hAnsi="Times New Roman" w:cs="Times New Roman"/>
                <w:b/>
                <w:bCs/>
              </w:rPr>
            </w:pPr>
            <w:r>
              <w:rPr>
                <w:rFonts w:ascii="Times New Roman" w:eastAsia="宋体" w:hAnsi="Times New Roman" w:cs="Times New Roman"/>
                <w:b/>
                <w:bCs/>
              </w:rPr>
              <w:t>8</w:t>
            </w:r>
            <w:r w:rsidRPr="0060354D">
              <w:rPr>
                <w:rFonts w:ascii="Times New Roman" w:eastAsia="宋体" w:hAnsi="Times New Roman" w:cs="Times New Roman"/>
                <w:b/>
                <w:bCs/>
              </w:rPr>
              <w:t>、</w:t>
            </w:r>
            <w:r w:rsidRPr="007B249B">
              <w:rPr>
                <w:rFonts w:ascii="Times New Roman" w:eastAsia="宋体" w:hAnsi="Times New Roman" w:cs="Times New Roman" w:hint="eastAsia"/>
                <w:b/>
                <w:bCs/>
              </w:rPr>
              <w:t>请公司对明年的收入、盈利情况进行展望</w:t>
            </w:r>
            <w:r>
              <w:rPr>
                <w:rFonts w:ascii="Times New Roman" w:eastAsia="宋体" w:hAnsi="Times New Roman" w:cs="Times New Roman" w:hint="eastAsia"/>
                <w:b/>
                <w:bCs/>
              </w:rPr>
              <w:t>。</w:t>
            </w:r>
          </w:p>
          <w:p w14:paraId="4715EFF4" w14:textId="481CF2B6" w:rsidR="007B249B" w:rsidRPr="007B249B" w:rsidRDefault="007B249B" w:rsidP="007B249B">
            <w:pPr>
              <w:spacing w:line="360" w:lineRule="auto"/>
              <w:ind w:firstLineChars="200" w:firstLine="420"/>
              <w:rPr>
                <w:rFonts w:ascii="Times New Roman" w:eastAsia="宋体" w:hAnsi="Times New Roman" w:cs="Times New Roman"/>
                <w:b/>
                <w:bCs/>
              </w:rPr>
            </w:pPr>
            <w:r w:rsidRPr="0060354D">
              <w:rPr>
                <w:rFonts w:ascii="Times New Roman" w:eastAsia="宋体" w:hAnsi="Times New Roman" w:cs="Times New Roman"/>
              </w:rPr>
              <w:t>回复：</w:t>
            </w:r>
            <w:r w:rsidR="005A49D7" w:rsidRPr="005A49D7">
              <w:rPr>
                <w:rFonts w:ascii="Times New Roman" w:eastAsia="宋体" w:hAnsi="Times New Roman" w:cs="Times New Roman"/>
              </w:rPr>
              <w:t>2024</w:t>
            </w:r>
            <w:r w:rsidR="005A49D7" w:rsidRPr="005A49D7">
              <w:rPr>
                <w:rFonts w:ascii="Times New Roman" w:eastAsia="宋体" w:hAnsi="Times New Roman" w:cs="Times New Roman"/>
              </w:rPr>
              <w:t>年前三季度，公司整体实现营业收入约</w:t>
            </w:r>
            <w:r w:rsidR="005A49D7" w:rsidRPr="005A49D7">
              <w:rPr>
                <w:rFonts w:ascii="Times New Roman" w:eastAsia="宋体" w:hAnsi="Times New Roman" w:cs="Times New Roman"/>
              </w:rPr>
              <w:t>19.3</w:t>
            </w:r>
            <w:r w:rsidR="005A49D7" w:rsidRPr="005A49D7">
              <w:rPr>
                <w:rFonts w:ascii="Times New Roman" w:eastAsia="宋体" w:hAnsi="Times New Roman" w:cs="Times New Roman"/>
              </w:rPr>
              <w:t>亿元，同比增长</w:t>
            </w:r>
            <w:r w:rsidR="005A49D7" w:rsidRPr="005A49D7">
              <w:rPr>
                <w:rFonts w:ascii="Times New Roman" w:eastAsia="宋体" w:hAnsi="Times New Roman" w:cs="Times New Roman"/>
              </w:rPr>
              <w:t>9.7</w:t>
            </w:r>
            <w:r w:rsidR="00CE5394">
              <w:rPr>
                <w:rFonts w:ascii="Times New Roman" w:eastAsia="宋体" w:hAnsi="Times New Roman" w:cs="Times New Roman"/>
              </w:rPr>
              <w:t>2</w:t>
            </w:r>
            <w:r w:rsidR="005A49D7" w:rsidRPr="005A49D7">
              <w:rPr>
                <w:rFonts w:ascii="Times New Roman" w:eastAsia="宋体" w:hAnsi="Times New Roman" w:cs="Times New Roman"/>
              </w:rPr>
              <w:t>%</w:t>
            </w:r>
            <w:r w:rsidR="005A49D7" w:rsidRPr="005A49D7">
              <w:rPr>
                <w:rFonts w:ascii="Times New Roman" w:eastAsia="宋体" w:hAnsi="Times New Roman" w:cs="Times New Roman"/>
              </w:rPr>
              <w:t>；实现</w:t>
            </w:r>
            <w:proofErr w:type="gramStart"/>
            <w:r w:rsidR="005A49D7" w:rsidRPr="005A49D7">
              <w:rPr>
                <w:rFonts w:ascii="Times New Roman" w:eastAsia="宋体" w:hAnsi="Times New Roman" w:cs="Times New Roman"/>
              </w:rPr>
              <w:t>扣非净</w:t>
            </w:r>
            <w:proofErr w:type="gramEnd"/>
            <w:r w:rsidR="005A49D7" w:rsidRPr="005A49D7">
              <w:rPr>
                <w:rFonts w:ascii="Times New Roman" w:eastAsia="宋体" w:hAnsi="Times New Roman" w:cs="Times New Roman"/>
              </w:rPr>
              <w:t>利润约</w:t>
            </w:r>
            <w:r w:rsidR="005A49D7" w:rsidRPr="005A49D7">
              <w:rPr>
                <w:rFonts w:ascii="Times New Roman" w:eastAsia="宋体" w:hAnsi="Times New Roman" w:cs="Times New Roman"/>
              </w:rPr>
              <w:t>1.80</w:t>
            </w:r>
            <w:r w:rsidR="005A49D7" w:rsidRPr="005A49D7">
              <w:rPr>
                <w:rFonts w:ascii="Times New Roman" w:eastAsia="宋体" w:hAnsi="Times New Roman" w:cs="Times New Roman"/>
              </w:rPr>
              <w:t>亿元，同比小幅下降</w:t>
            </w:r>
            <w:r w:rsidR="005A49D7" w:rsidRPr="005A49D7">
              <w:rPr>
                <w:rFonts w:ascii="Times New Roman" w:eastAsia="宋体" w:hAnsi="Times New Roman" w:cs="Times New Roman"/>
              </w:rPr>
              <w:t>2.7%</w:t>
            </w:r>
            <w:r w:rsidR="005A49D7" w:rsidRPr="005A49D7">
              <w:rPr>
                <w:rFonts w:ascii="Times New Roman" w:eastAsia="宋体" w:hAnsi="Times New Roman" w:cs="Times New Roman"/>
              </w:rPr>
              <w:t>。整体来看，公司收入规模持续扩大，经营利润水平则基本保持稳态。在前三季度，阻碍公司盈利水平进一步增长</w:t>
            </w:r>
            <w:r w:rsidR="00D9640C">
              <w:rPr>
                <w:rFonts w:ascii="Times New Roman" w:eastAsia="宋体" w:hAnsi="Times New Roman" w:cs="Times New Roman" w:hint="eastAsia"/>
              </w:rPr>
              <w:t>的因素</w:t>
            </w:r>
            <w:r w:rsidR="005A49D7" w:rsidRPr="005A49D7">
              <w:rPr>
                <w:rFonts w:ascii="Times New Roman" w:eastAsia="宋体" w:hAnsi="Times New Roman" w:cs="Times New Roman"/>
              </w:rPr>
              <w:t>主要</w:t>
            </w:r>
            <w:r w:rsidR="00D9640C">
              <w:rPr>
                <w:rFonts w:ascii="Times New Roman" w:eastAsia="宋体" w:hAnsi="Times New Roman" w:cs="Times New Roman" w:hint="eastAsia"/>
              </w:rPr>
              <w:t>为</w:t>
            </w:r>
            <w:r w:rsidR="005A49D7" w:rsidRPr="005A49D7">
              <w:rPr>
                <w:rFonts w:ascii="Times New Roman" w:eastAsia="宋体" w:hAnsi="Times New Roman" w:cs="Times New Roman"/>
              </w:rPr>
              <w:t>新开展的烘焙业务现有进展不及预期以及公司对</w:t>
            </w:r>
            <w:r w:rsidR="005A49D7" w:rsidRPr="005A49D7">
              <w:rPr>
                <w:rFonts w:ascii="Times New Roman" w:eastAsia="宋体" w:hAnsi="Times New Roman" w:cs="Times New Roman"/>
              </w:rPr>
              <w:t>C</w:t>
            </w:r>
            <w:proofErr w:type="gramStart"/>
            <w:r w:rsidR="005A49D7" w:rsidRPr="005A49D7">
              <w:rPr>
                <w:rFonts w:ascii="Times New Roman" w:eastAsia="宋体" w:hAnsi="Times New Roman" w:cs="Times New Roman"/>
              </w:rPr>
              <w:t>端业务</w:t>
            </w:r>
            <w:proofErr w:type="gramEnd"/>
            <w:r w:rsidR="005A49D7" w:rsidRPr="005A49D7">
              <w:rPr>
                <w:rFonts w:ascii="Times New Roman" w:eastAsia="宋体" w:hAnsi="Times New Roman" w:cs="Times New Roman"/>
              </w:rPr>
              <w:t>所实施的调整整合。展望来年，随着烘焙业务的经营改善以及</w:t>
            </w:r>
            <w:r w:rsidR="005A49D7" w:rsidRPr="005A49D7">
              <w:rPr>
                <w:rFonts w:ascii="Times New Roman" w:eastAsia="宋体" w:hAnsi="Times New Roman" w:cs="Times New Roman"/>
              </w:rPr>
              <w:t>C</w:t>
            </w:r>
            <w:proofErr w:type="gramStart"/>
            <w:r w:rsidR="005A49D7" w:rsidRPr="005A49D7">
              <w:rPr>
                <w:rFonts w:ascii="Times New Roman" w:eastAsia="宋体" w:hAnsi="Times New Roman" w:cs="Times New Roman"/>
              </w:rPr>
              <w:t>端业务</w:t>
            </w:r>
            <w:proofErr w:type="gramEnd"/>
            <w:r w:rsidR="005A49D7" w:rsidRPr="005A49D7">
              <w:rPr>
                <w:rFonts w:ascii="Times New Roman" w:eastAsia="宋体" w:hAnsi="Times New Roman" w:cs="Times New Roman"/>
              </w:rPr>
              <w:t>成长速度的逐步恢复，加之公司在</w:t>
            </w:r>
            <w:r w:rsidR="005A49D7" w:rsidRPr="005A49D7">
              <w:rPr>
                <w:rFonts w:ascii="Times New Roman" w:eastAsia="宋体" w:hAnsi="Times New Roman" w:cs="Times New Roman"/>
              </w:rPr>
              <w:t>B</w:t>
            </w:r>
            <w:proofErr w:type="gramStart"/>
            <w:r w:rsidR="005A49D7" w:rsidRPr="005A49D7">
              <w:rPr>
                <w:rFonts w:ascii="Times New Roman" w:eastAsia="宋体" w:hAnsi="Times New Roman" w:cs="Times New Roman"/>
              </w:rPr>
              <w:t>端业务</w:t>
            </w:r>
            <w:proofErr w:type="gramEnd"/>
            <w:r w:rsidR="005A49D7" w:rsidRPr="005A49D7">
              <w:rPr>
                <w:rFonts w:ascii="Times New Roman" w:eastAsia="宋体" w:hAnsi="Times New Roman" w:cs="Times New Roman"/>
              </w:rPr>
              <w:t>上持续布局和客户需求深挖，公司对明年收入和盈利情况的进一步提升和改善较为乐观。</w:t>
            </w:r>
          </w:p>
          <w:p w14:paraId="221CE031" w14:textId="3825533C" w:rsidR="00BC4D66" w:rsidRPr="0060354D" w:rsidRDefault="00CE12A5" w:rsidP="00785460">
            <w:pPr>
              <w:spacing w:line="360" w:lineRule="auto"/>
              <w:rPr>
                <w:rFonts w:ascii="Times New Roman" w:eastAsia="宋体" w:hAnsi="Times New Roman" w:cs="Times New Roman"/>
              </w:rPr>
            </w:pPr>
            <w:r w:rsidRPr="0060354D">
              <w:rPr>
                <w:rFonts w:ascii="Times New Roman" w:eastAsia="宋体" w:hAnsi="Times New Roman" w:cs="Times New Roman"/>
                <w:b/>
                <w:bCs/>
              </w:rPr>
              <w:t>三、</w:t>
            </w:r>
            <w:r w:rsidR="00BC4D66" w:rsidRPr="0060354D">
              <w:rPr>
                <w:rFonts w:ascii="Times New Roman" w:eastAsia="宋体" w:hAnsi="Times New Roman" w:cs="Times New Roman"/>
                <w:b/>
                <w:bCs/>
              </w:rPr>
              <w:t>结束致辞</w:t>
            </w:r>
          </w:p>
        </w:tc>
      </w:tr>
      <w:tr w:rsidR="00BB6E0B" w:rsidRPr="0060354D" w14:paraId="0A18B15B" w14:textId="77777777" w:rsidTr="008A655D">
        <w:trPr>
          <w:trHeight w:val="665"/>
        </w:trPr>
        <w:tc>
          <w:tcPr>
            <w:tcW w:w="1980" w:type="dxa"/>
            <w:vAlign w:val="center"/>
          </w:tcPr>
          <w:p w14:paraId="3044EEEA" w14:textId="77777777" w:rsidR="00A1638B" w:rsidRPr="0060354D" w:rsidRDefault="00A1638B"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lastRenderedPageBreak/>
              <w:t>附件清单</w:t>
            </w:r>
          </w:p>
          <w:p w14:paraId="29C77E05" w14:textId="5F8E5EBF" w:rsidR="00BB6E0B" w:rsidRPr="0060354D" w:rsidRDefault="00A1638B"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（如有）</w:t>
            </w:r>
          </w:p>
        </w:tc>
        <w:tc>
          <w:tcPr>
            <w:tcW w:w="6390" w:type="dxa"/>
            <w:vAlign w:val="center"/>
          </w:tcPr>
          <w:p w14:paraId="653A5696" w14:textId="5EB87742" w:rsidR="00BB6E0B" w:rsidRPr="0060354D" w:rsidRDefault="004662A3" w:rsidP="00B71D47">
            <w:pPr>
              <w:spacing w:line="360" w:lineRule="auto"/>
              <w:rPr>
                <w:rFonts w:ascii="Times New Roman" w:eastAsia="宋体" w:hAnsi="Times New Roman" w:cs="Times New Roman"/>
              </w:rPr>
            </w:pPr>
            <w:r w:rsidRPr="0060354D">
              <w:rPr>
                <w:rFonts w:ascii="Times New Roman" w:eastAsia="宋体" w:hAnsi="Times New Roman" w:cs="Times New Roman"/>
              </w:rPr>
              <w:t>无</w:t>
            </w:r>
          </w:p>
        </w:tc>
      </w:tr>
      <w:tr w:rsidR="00BB6E0B" w:rsidRPr="0060354D" w14:paraId="28733348" w14:textId="77777777" w:rsidTr="00863D5A">
        <w:trPr>
          <w:trHeight w:val="620"/>
        </w:trPr>
        <w:tc>
          <w:tcPr>
            <w:tcW w:w="1980" w:type="dxa"/>
            <w:vAlign w:val="center"/>
          </w:tcPr>
          <w:p w14:paraId="7058A302" w14:textId="2D044A02" w:rsidR="00BB6E0B" w:rsidRPr="0060354D" w:rsidRDefault="00A1638B" w:rsidP="00B71D47">
            <w:pPr>
              <w:spacing w:line="360" w:lineRule="auto"/>
              <w:jc w:val="center"/>
              <w:rPr>
                <w:rFonts w:ascii="Times New Roman" w:eastAsia="宋体" w:hAnsi="Times New Roman" w:cs="Times New Roman"/>
              </w:rPr>
            </w:pPr>
            <w:r w:rsidRPr="0060354D">
              <w:rPr>
                <w:rFonts w:ascii="Times New Roman" w:eastAsia="宋体" w:hAnsi="Times New Roman" w:cs="Times New Roman"/>
              </w:rPr>
              <w:t>日期</w:t>
            </w:r>
          </w:p>
        </w:tc>
        <w:tc>
          <w:tcPr>
            <w:tcW w:w="6390" w:type="dxa"/>
            <w:vAlign w:val="center"/>
          </w:tcPr>
          <w:p w14:paraId="1372715A" w14:textId="006FDA17" w:rsidR="00BB6E0B" w:rsidRPr="0060354D" w:rsidRDefault="00B44E28" w:rsidP="00B71D47">
            <w:pPr>
              <w:spacing w:line="360" w:lineRule="auto"/>
              <w:rPr>
                <w:rFonts w:ascii="Times New Roman" w:eastAsia="宋体" w:hAnsi="Times New Roman" w:cs="Times New Roman"/>
              </w:rPr>
            </w:pPr>
            <w:r w:rsidRPr="0060354D">
              <w:rPr>
                <w:rFonts w:ascii="Times New Roman" w:eastAsia="宋体" w:hAnsi="Times New Roman" w:cs="Times New Roman"/>
              </w:rPr>
              <w:t>202</w:t>
            </w:r>
            <w:r w:rsidR="00095D49" w:rsidRPr="0060354D">
              <w:rPr>
                <w:rFonts w:ascii="Times New Roman" w:eastAsia="宋体" w:hAnsi="Times New Roman" w:cs="Times New Roman"/>
              </w:rPr>
              <w:t>4</w:t>
            </w:r>
            <w:r w:rsidRPr="0060354D">
              <w:rPr>
                <w:rFonts w:ascii="Times New Roman" w:eastAsia="宋体" w:hAnsi="Times New Roman" w:cs="Times New Roman"/>
              </w:rPr>
              <w:t>年</w:t>
            </w:r>
            <w:r w:rsidR="00785460">
              <w:rPr>
                <w:rFonts w:ascii="Times New Roman" w:eastAsia="宋体" w:hAnsi="Times New Roman" w:cs="Times New Roman"/>
              </w:rPr>
              <w:t>10</w:t>
            </w:r>
            <w:r w:rsidRPr="0060354D">
              <w:rPr>
                <w:rFonts w:ascii="Times New Roman" w:eastAsia="宋体" w:hAnsi="Times New Roman" w:cs="Times New Roman"/>
              </w:rPr>
              <w:t>月</w:t>
            </w:r>
            <w:r w:rsidR="00785460">
              <w:rPr>
                <w:rFonts w:ascii="Times New Roman" w:eastAsia="宋体" w:hAnsi="Times New Roman" w:cs="Times New Roman" w:hint="eastAsia"/>
              </w:rPr>
              <w:t>3</w:t>
            </w:r>
            <w:r w:rsidR="00785460">
              <w:rPr>
                <w:rFonts w:ascii="Times New Roman" w:eastAsia="宋体" w:hAnsi="Times New Roman" w:cs="Times New Roman"/>
              </w:rPr>
              <w:t>1</w:t>
            </w:r>
            <w:r w:rsidRPr="0060354D">
              <w:rPr>
                <w:rFonts w:ascii="Times New Roman" w:eastAsia="宋体" w:hAnsi="Times New Roman" w:cs="Times New Roman"/>
              </w:rPr>
              <w:t>日</w:t>
            </w:r>
          </w:p>
        </w:tc>
      </w:tr>
    </w:tbl>
    <w:p w14:paraId="7C6DD5A1" w14:textId="50D2C515" w:rsidR="004178F5" w:rsidRPr="0060354D" w:rsidRDefault="00BB6E0B" w:rsidP="00BB6E0B">
      <w:pPr>
        <w:rPr>
          <w:rFonts w:ascii="Times New Roman" w:eastAsia="宋体" w:hAnsi="Times New Roman" w:cs="Times New Roman"/>
        </w:rPr>
      </w:pPr>
      <w:r w:rsidRPr="0060354D">
        <w:rPr>
          <w:rFonts w:ascii="Times New Roman" w:eastAsia="宋体" w:hAnsi="Times New Roman" w:cs="Times New Roman"/>
        </w:rPr>
        <w:t xml:space="preserve">         </w:t>
      </w:r>
    </w:p>
    <w:sectPr w:rsidR="004178F5" w:rsidRPr="006035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F81B5" w14:textId="77777777" w:rsidR="00E96FF9" w:rsidRDefault="00E96FF9" w:rsidP="00130301">
      <w:r>
        <w:separator/>
      </w:r>
    </w:p>
  </w:endnote>
  <w:endnote w:type="continuationSeparator" w:id="0">
    <w:p w14:paraId="1AA3FBCF" w14:textId="77777777" w:rsidR="00E96FF9" w:rsidRDefault="00E96FF9" w:rsidP="0013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C01ED" w14:textId="77777777" w:rsidR="00E96FF9" w:rsidRDefault="00E96FF9" w:rsidP="00130301">
      <w:r>
        <w:separator/>
      </w:r>
    </w:p>
  </w:footnote>
  <w:footnote w:type="continuationSeparator" w:id="0">
    <w:p w14:paraId="3D0138CB" w14:textId="77777777" w:rsidR="00E96FF9" w:rsidRDefault="00E96FF9" w:rsidP="00130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7E25AA"/>
    <w:multiLevelType w:val="hybridMultilevel"/>
    <w:tmpl w:val="4B5C756A"/>
    <w:lvl w:ilvl="0" w:tplc="ECDA0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F812E97"/>
    <w:multiLevelType w:val="hybridMultilevel"/>
    <w:tmpl w:val="A6FCB248"/>
    <w:lvl w:ilvl="0" w:tplc="C94CE38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A70035"/>
    <w:multiLevelType w:val="hybridMultilevel"/>
    <w:tmpl w:val="30DCF760"/>
    <w:lvl w:ilvl="0" w:tplc="49128D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6D"/>
    <w:rsid w:val="000041FF"/>
    <w:rsid w:val="000104A2"/>
    <w:rsid w:val="00023F54"/>
    <w:rsid w:val="00026846"/>
    <w:rsid w:val="000326DC"/>
    <w:rsid w:val="000416E7"/>
    <w:rsid w:val="00052829"/>
    <w:rsid w:val="00067215"/>
    <w:rsid w:val="00070D8E"/>
    <w:rsid w:val="00073F1B"/>
    <w:rsid w:val="00082244"/>
    <w:rsid w:val="00084122"/>
    <w:rsid w:val="000900F0"/>
    <w:rsid w:val="00092602"/>
    <w:rsid w:val="00095D49"/>
    <w:rsid w:val="00096031"/>
    <w:rsid w:val="000961BB"/>
    <w:rsid w:val="000A2F76"/>
    <w:rsid w:val="000B20E6"/>
    <w:rsid w:val="000B524A"/>
    <w:rsid w:val="000B679F"/>
    <w:rsid w:val="000E272D"/>
    <w:rsid w:val="000F0FFD"/>
    <w:rsid w:val="000F69BC"/>
    <w:rsid w:val="0010212C"/>
    <w:rsid w:val="00112E2D"/>
    <w:rsid w:val="00130301"/>
    <w:rsid w:val="00130310"/>
    <w:rsid w:val="00136F57"/>
    <w:rsid w:val="00142E51"/>
    <w:rsid w:val="00145DD9"/>
    <w:rsid w:val="00147391"/>
    <w:rsid w:val="001474C6"/>
    <w:rsid w:val="00147E08"/>
    <w:rsid w:val="001501C4"/>
    <w:rsid w:val="00153617"/>
    <w:rsid w:val="0015752A"/>
    <w:rsid w:val="00160DB0"/>
    <w:rsid w:val="001613BB"/>
    <w:rsid w:val="00166568"/>
    <w:rsid w:val="0018498E"/>
    <w:rsid w:val="00187C00"/>
    <w:rsid w:val="001A1DFB"/>
    <w:rsid w:val="001C49D3"/>
    <w:rsid w:val="001D7FBC"/>
    <w:rsid w:val="001E604F"/>
    <w:rsid w:val="001F1F2B"/>
    <w:rsid w:val="001F55EC"/>
    <w:rsid w:val="002118C4"/>
    <w:rsid w:val="002235D5"/>
    <w:rsid w:val="00225CEE"/>
    <w:rsid w:val="00226828"/>
    <w:rsid w:val="00231B83"/>
    <w:rsid w:val="00231C8E"/>
    <w:rsid w:val="00236273"/>
    <w:rsid w:val="00251845"/>
    <w:rsid w:val="00274136"/>
    <w:rsid w:val="00277253"/>
    <w:rsid w:val="00282B7F"/>
    <w:rsid w:val="0029584A"/>
    <w:rsid w:val="002975A6"/>
    <w:rsid w:val="002A2828"/>
    <w:rsid w:val="002A5BC5"/>
    <w:rsid w:val="002B023F"/>
    <w:rsid w:val="002C1BF5"/>
    <w:rsid w:val="002C5C87"/>
    <w:rsid w:val="002C7DB2"/>
    <w:rsid w:val="002D48F5"/>
    <w:rsid w:val="002E025C"/>
    <w:rsid w:val="002E10CC"/>
    <w:rsid w:val="002F0DF5"/>
    <w:rsid w:val="002F5E71"/>
    <w:rsid w:val="00301E7F"/>
    <w:rsid w:val="003135F8"/>
    <w:rsid w:val="00315399"/>
    <w:rsid w:val="0031763D"/>
    <w:rsid w:val="00322CAF"/>
    <w:rsid w:val="00331AFC"/>
    <w:rsid w:val="003378EE"/>
    <w:rsid w:val="00351F9A"/>
    <w:rsid w:val="00357A6E"/>
    <w:rsid w:val="00360F00"/>
    <w:rsid w:val="0036324B"/>
    <w:rsid w:val="00376447"/>
    <w:rsid w:val="00391AF7"/>
    <w:rsid w:val="0039382A"/>
    <w:rsid w:val="003A0C17"/>
    <w:rsid w:val="003A4EED"/>
    <w:rsid w:val="003A692D"/>
    <w:rsid w:val="003B315D"/>
    <w:rsid w:val="003B4389"/>
    <w:rsid w:val="003B5F55"/>
    <w:rsid w:val="003B7A80"/>
    <w:rsid w:val="003D491E"/>
    <w:rsid w:val="003D5830"/>
    <w:rsid w:val="003E2CFA"/>
    <w:rsid w:val="003E6D4E"/>
    <w:rsid w:val="003F0130"/>
    <w:rsid w:val="00402B26"/>
    <w:rsid w:val="0041228E"/>
    <w:rsid w:val="004178F5"/>
    <w:rsid w:val="00420CC0"/>
    <w:rsid w:val="00426B1B"/>
    <w:rsid w:val="00442967"/>
    <w:rsid w:val="00442F76"/>
    <w:rsid w:val="00446506"/>
    <w:rsid w:val="00447EE7"/>
    <w:rsid w:val="00461D65"/>
    <w:rsid w:val="00462BB8"/>
    <w:rsid w:val="004662A3"/>
    <w:rsid w:val="0046763A"/>
    <w:rsid w:val="00482780"/>
    <w:rsid w:val="00490B80"/>
    <w:rsid w:val="00492317"/>
    <w:rsid w:val="00492FA3"/>
    <w:rsid w:val="004A6078"/>
    <w:rsid w:val="004A6D15"/>
    <w:rsid w:val="004C2A99"/>
    <w:rsid w:val="004C3B01"/>
    <w:rsid w:val="004D55DC"/>
    <w:rsid w:val="004E5A22"/>
    <w:rsid w:val="004E65EE"/>
    <w:rsid w:val="00504CB4"/>
    <w:rsid w:val="00504D65"/>
    <w:rsid w:val="0052303C"/>
    <w:rsid w:val="00541411"/>
    <w:rsid w:val="00542336"/>
    <w:rsid w:val="0055272C"/>
    <w:rsid w:val="00552980"/>
    <w:rsid w:val="00553F3C"/>
    <w:rsid w:val="00556829"/>
    <w:rsid w:val="00556E2B"/>
    <w:rsid w:val="005670F0"/>
    <w:rsid w:val="00574BD3"/>
    <w:rsid w:val="0057510C"/>
    <w:rsid w:val="00590D02"/>
    <w:rsid w:val="005963B0"/>
    <w:rsid w:val="005A0C0C"/>
    <w:rsid w:val="005A49D7"/>
    <w:rsid w:val="005E199E"/>
    <w:rsid w:val="005E3138"/>
    <w:rsid w:val="005E40CE"/>
    <w:rsid w:val="005F7598"/>
    <w:rsid w:val="0060354D"/>
    <w:rsid w:val="006152F3"/>
    <w:rsid w:val="00622C4A"/>
    <w:rsid w:val="00625F5C"/>
    <w:rsid w:val="00634F61"/>
    <w:rsid w:val="00635705"/>
    <w:rsid w:val="00637E86"/>
    <w:rsid w:val="006432E4"/>
    <w:rsid w:val="0064605D"/>
    <w:rsid w:val="0065557C"/>
    <w:rsid w:val="0065644C"/>
    <w:rsid w:val="0066061E"/>
    <w:rsid w:val="00665FBB"/>
    <w:rsid w:val="006748AF"/>
    <w:rsid w:val="006818BB"/>
    <w:rsid w:val="00685FB2"/>
    <w:rsid w:val="006A054B"/>
    <w:rsid w:val="006A1E38"/>
    <w:rsid w:val="006A486E"/>
    <w:rsid w:val="006A6369"/>
    <w:rsid w:val="006A6551"/>
    <w:rsid w:val="006B0713"/>
    <w:rsid w:val="006B33D4"/>
    <w:rsid w:val="006B50F8"/>
    <w:rsid w:val="006C7396"/>
    <w:rsid w:val="006D2F2F"/>
    <w:rsid w:val="006E0BB2"/>
    <w:rsid w:val="006E1D95"/>
    <w:rsid w:val="006E5C44"/>
    <w:rsid w:val="006F3196"/>
    <w:rsid w:val="006F3B11"/>
    <w:rsid w:val="006F43A6"/>
    <w:rsid w:val="006F6D42"/>
    <w:rsid w:val="006F724D"/>
    <w:rsid w:val="00707829"/>
    <w:rsid w:val="007127F3"/>
    <w:rsid w:val="00724295"/>
    <w:rsid w:val="00734CC9"/>
    <w:rsid w:val="00737A51"/>
    <w:rsid w:val="0074775F"/>
    <w:rsid w:val="00762A96"/>
    <w:rsid w:val="00770A2F"/>
    <w:rsid w:val="0077559C"/>
    <w:rsid w:val="00782107"/>
    <w:rsid w:val="00785460"/>
    <w:rsid w:val="00797D42"/>
    <w:rsid w:val="007A555F"/>
    <w:rsid w:val="007A7681"/>
    <w:rsid w:val="007B249B"/>
    <w:rsid w:val="007C0DF4"/>
    <w:rsid w:val="007C4440"/>
    <w:rsid w:val="007C689C"/>
    <w:rsid w:val="007C7386"/>
    <w:rsid w:val="007D2090"/>
    <w:rsid w:val="007F433F"/>
    <w:rsid w:val="00800C6C"/>
    <w:rsid w:val="0080145C"/>
    <w:rsid w:val="00805CB6"/>
    <w:rsid w:val="00813C30"/>
    <w:rsid w:val="00824C73"/>
    <w:rsid w:val="00824D11"/>
    <w:rsid w:val="00824E0F"/>
    <w:rsid w:val="00826ABB"/>
    <w:rsid w:val="00841044"/>
    <w:rsid w:val="00842005"/>
    <w:rsid w:val="008427F3"/>
    <w:rsid w:val="00844BE5"/>
    <w:rsid w:val="00844F5E"/>
    <w:rsid w:val="008454EE"/>
    <w:rsid w:val="00852D9E"/>
    <w:rsid w:val="00862AD4"/>
    <w:rsid w:val="00863D5A"/>
    <w:rsid w:val="00866DAA"/>
    <w:rsid w:val="0087041E"/>
    <w:rsid w:val="008743D6"/>
    <w:rsid w:val="00875E8B"/>
    <w:rsid w:val="0089181D"/>
    <w:rsid w:val="008951C1"/>
    <w:rsid w:val="00895D51"/>
    <w:rsid w:val="008A0525"/>
    <w:rsid w:val="008A655D"/>
    <w:rsid w:val="008B4C5A"/>
    <w:rsid w:val="008B651A"/>
    <w:rsid w:val="008C2D8A"/>
    <w:rsid w:val="008C30FB"/>
    <w:rsid w:val="008E6602"/>
    <w:rsid w:val="008E7BC8"/>
    <w:rsid w:val="008F0628"/>
    <w:rsid w:val="008F5F17"/>
    <w:rsid w:val="00910C30"/>
    <w:rsid w:val="00923C3C"/>
    <w:rsid w:val="009263FA"/>
    <w:rsid w:val="009353BD"/>
    <w:rsid w:val="00946BDE"/>
    <w:rsid w:val="00956B09"/>
    <w:rsid w:val="00957085"/>
    <w:rsid w:val="009615B2"/>
    <w:rsid w:val="00967DD7"/>
    <w:rsid w:val="00973F0C"/>
    <w:rsid w:val="009779AF"/>
    <w:rsid w:val="009837D9"/>
    <w:rsid w:val="009950F7"/>
    <w:rsid w:val="009B0088"/>
    <w:rsid w:val="009B0982"/>
    <w:rsid w:val="009B0E63"/>
    <w:rsid w:val="009C2972"/>
    <w:rsid w:val="009D1276"/>
    <w:rsid w:val="009E15B1"/>
    <w:rsid w:val="009F2178"/>
    <w:rsid w:val="009F7DED"/>
    <w:rsid w:val="00A00EF1"/>
    <w:rsid w:val="00A015DA"/>
    <w:rsid w:val="00A038D1"/>
    <w:rsid w:val="00A07A78"/>
    <w:rsid w:val="00A12771"/>
    <w:rsid w:val="00A12C1B"/>
    <w:rsid w:val="00A1638B"/>
    <w:rsid w:val="00A25595"/>
    <w:rsid w:val="00A25C08"/>
    <w:rsid w:val="00A27729"/>
    <w:rsid w:val="00A347EE"/>
    <w:rsid w:val="00A369E1"/>
    <w:rsid w:val="00A42255"/>
    <w:rsid w:val="00A50ED1"/>
    <w:rsid w:val="00A51C79"/>
    <w:rsid w:val="00A62E16"/>
    <w:rsid w:val="00A67B42"/>
    <w:rsid w:val="00A86302"/>
    <w:rsid w:val="00A92D6D"/>
    <w:rsid w:val="00AC0597"/>
    <w:rsid w:val="00AC4708"/>
    <w:rsid w:val="00AE4694"/>
    <w:rsid w:val="00AE5036"/>
    <w:rsid w:val="00AF4C7D"/>
    <w:rsid w:val="00AF6D76"/>
    <w:rsid w:val="00B0469E"/>
    <w:rsid w:val="00B1499B"/>
    <w:rsid w:val="00B16884"/>
    <w:rsid w:val="00B16D17"/>
    <w:rsid w:val="00B23DB2"/>
    <w:rsid w:val="00B258FB"/>
    <w:rsid w:val="00B268B7"/>
    <w:rsid w:val="00B44E28"/>
    <w:rsid w:val="00B458E0"/>
    <w:rsid w:val="00B63731"/>
    <w:rsid w:val="00B71A1C"/>
    <w:rsid w:val="00B71D47"/>
    <w:rsid w:val="00B9142A"/>
    <w:rsid w:val="00B96048"/>
    <w:rsid w:val="00B97BB4"/>
    <w:rsid w:val="00BA24FC"/>
    <w:rsid w:val="00BA7607"/>
    <w:rsid w:val="00BB48BE"/>
    <w:rsid w:val="00BB5802"/>
    <w:rsid w:val="00BB6E0B"/>
    <w:rsid w:val="00BC3CFE"/>
    <w:rsid w:val="00BC4D66"/>
    <w:rsid w:val="00BD4409"/>
    <w:rsid w:val="00BD70FB"/>
    <w:rsid w:val="00BE0ECB"/>
    <w:rsid w:val="00BE3715"/>
    <w:rsid w:val="00BE48F7"/>
    <w:rsid w:val="00BE4BE6"/>
    <w:rsid w:val="00BE7B85"/>
    <w:rsid w:val="00C0527B"/>
    <w:rsid w:val="00C0684F"/>
    <w:rsid w:val="00C06AE6"/>
    <w:rsid w:val="00C1592F"/>
    <w:rsid w:val="00C22026"/>
    <w:rsid w:val="00C23BE8"/>
    <w:rsid w:val="00C34912"/>
    <w:rsid w:val="00C36067"/>
    <w:rsid w:val="00C37942"/>
    <w:rsid w:val="00C425B3"/>
    <w:rsid w:val="00C433D1"/>
    <w:rsid w:val="00C44D39"/>
    <w:rsid w:val="00C52006"/>
    <w:rsid w:val="00C52B2A"/>
    <w:rsid w:val="00C5354B"/>
    <w:rsid w:val="00C56049"/>
    <w:rsid w:val="00C65BE0"/>
    <w:rsid w:val="00C70090"/>
    <w:rsid w:val="00C702EC"/>
    <w:rsid w:val="00C70A6E"/>
    <w:rsid w:val="00C7390A"/>
    <w:rsid w:val="00C7687E"/>
    <w:rsid w:val="00C81AA0"/>
    <w:rsid w:val="00C81FFE"/>
    <w:rsid w:val="00C830F7"/>
    <w:rsid w:val="00C93D77"/>
    <w:rsid w:val="00CB1FBF"/>
    <w:rsid w:val="00CB3C75"/>
    <w:rsid w:val="00CC2516"/>
    <w:rsid w:val="00CD7090"/>
    <w:rsid w:val="00CE0AEC"/>
    <w:rsid w:val="00CE12A5"/>
    <w:rsid w:val="00CE26BD"/>
    <w:rsid w:val="00CE4EEB"/>
    <w:rsid w:val="00CE5394"/>
    <w:rsid w:val="00CF2004"/>
    <w:rsid w:val="00CF3EDC"/>
    <w:rsid w:val="00CF6C25"/>
    <w:rsid w:val="00D006E6"/>
    <w:rsid w:val="00D009D4"/>
    <w:rsid w:val="00D02D40"/>
    <w:rsid w:val="00D15344"/>
    <w:rsid w:val="00D30C37"/>
    <w:rsid w:val="00D40574"/>
    <w:rsid w:val="00D53FC7"/>
    <w:rsid w:val="00D62E4E"/>
    <w:rsid w:val="00D65C7C"/>
    <w:rsid w:val="00D7069F"/>
    <w:rsid w:val="00D73875"/>
    <w:rsid w:val="00D802D1"/>
    <w:rsid w:val="00D8419E"/>
    <w:rsid w:val="00D9640C"/>
    <w:rsid w:val="00D96990"/>
    <w:rsid w:val="00DA0710"/>
    <w:rsid w:val="00DB79E8"/>
    <w:rsid w:val="00DC18BA"/>
    <w:rsid w:val="00DC4501"/>
    <w:rsid w:val="00DC59FD"/>
    <w:rsid w:val="00DE6D12"/>
    <w:rsid w:val="00DF321D"/>
    <w:rsid w:val="00E00106"/>
    <w:rsid w:val="00E10FB8"/>
    <w:rsid w:val="00E11839"/>
    <w:rsid w:val="00E1478F"/>
    <w:rsid w:val="00E15171"/>
    <w:rsid w:val="00E311BF"/>
    <w:rsid w:val="00E31F33"/>
    <w:rsid w:val="00E452FE"/>
    <w:rsid w:val="00E51906"/>
    <w:rsid w:val="00E70B9E"/>
    <w:rsid w:val="00E71929"/>
    <w:rsid w:val="00E8746C"/>
    <w:rsid w:val="00E96FF9"/>
    <w:rsid w:val="00EA2565"/>
    <w:rsid w:val="00EC2948"/>
    <w:rsid w:val="00EC47B3"/>
    <w:rsid w:val="00EC7BD8"/>
    <w:rsid w:val="00ED2295"/>
    <w:rsid w:val="00F01ACF"/>
    <w:rsid w:val="00F0396F"/>
    <w:rsid w:val="00F107D6"/>
    <w:rsid w:val="00F10DC2"/>
    <w:rsid w:val="00F20899"/>
    <w:rsid w:val="00F32A2F"/>
    <w:rsid w:val="00F41325"/>
    <w:rsid w:val="00F423CA"/>
    <w:rsid w:val="00F560C7"/>
    <w:rsid w:val="00F57441"/>
    <w:rsid w:val="00F71674"/>
    <w:rsid w:val="00F74EBA"/>
    <w:rsid w:val="00F923C7"/>
    <w:rsid w:val="00F9370B"/>
    <w:rsid w:val="00F93D18"/>
    <w:rsid w:val="00F94709"/>
    <w:rsid w:val="00F97146"/>
    <w:rsid w:val="00FA75B4"/>
    <w:rsid w:val="00FB3860"/>
    <w:rsid w:val="00FB3FFC"/>
    <w:rsid w:val="00FB586A"/>
    <w:rsid w:val="00FB6F83"/>
    <w:rsid w:val="00FC20B6"/>
    <w:rsid w:val="00FD0A02"/>
    <w:rsid w:val="00FD1B82"/>
    <w:rsid w:val="00FD1E01"/>
    <w:rsid w:val="00FE517A"/>
    <w:rsid w:val="00FF405A"/>
    <w:rsid w:val="00FF6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70906"/>
  <w15:chartTrackingRefBased/>
  <w15:docId w15:val="{D415C28F-7F38-479D-B9C6-45A1998C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6E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370B"/>
    <w:pPr>
      <w:ind w:firstLineChars="200" w:firstLine="420"/>
    </w:pPr>
  </w:style>
  <w:style w:type="paragraph" w:styleId="a5">
    <w:name w:val="header"/>
    <w:basedOn w:val="a"/>
    <w:link w:val="a6"/>
    <w:uiPriority w:val="99"/>
    <w:unhideWhenUsed/>
    <w:rsid w:val="0013030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0301"/>
    <w:rPr>
      <w:sz w:val="18"/>
      <w:szCs w:val="18"/>
    </w:rPr>
  </w:style>
  <w:style w:type="paragraph" w:styleId="a7">
    <w:name w:val="footer"/>
    <w:basedOn w:val="a"/>
    <w:link w:val="a8"/>
    <w:uiPriority w:val="99"/>
    <w:unhideWhenUsed/>
    <w:rsid w:val="00130301"/>
    <w:pPr>
      <w:tabs>
        <w:tab w:val="center" w:pos="4153"/>
        <w:tab w:val="right" w:pos="8306"/>
      </w:tabs>
      <w:snapToGrid w:val="0"/>
      <w:jc w:val="left"/>
    </w:pPr>
    <w:rPr>
      <w:sz w:val="18"/>
      <w:szCs w:val="18"/>
    </w:rPr>
  </w:style>
  <w:style w:type="character" w:customStyle="1" w:styleId="a8">
    <w:name w:val="页脚 字符"/>
    <w:basedOn w:val="a0"/>
    <w:link w:val="a7"/>
    <w:uiPriority w:val="99"/>
    <w:rsid w:val="00130301"/>
    <w:rPr>
      <w:sz w:val="18"/>
      <w:szCs w:val="18"/>
    </w:rPr>
  </w:style>
  <w:style w:type="paragraph" w:styleId="a9">
    <w:name w:val="Balloon Text"/>
    <w:basedOn w:val="a"/>
    <w:link w:val="aa"/>
    <w:uiPriority w:val="99"/>
    <w:semiHidden/>
    <w:unhideWhenUsed/>
    <w:rsid w:val="00160DB0"/>
    <w:rPr>
      <w:sz w:val="18"/>
      <w:szCs w:val="18"/>
    </w:rPr>
  </w:style>
  <w:style w:type="character" w:customStyle="1" w:styleId="aa">
    <w:name w:val="批注框文本 字符"/>
    <w:basedOn w:val="a0"/>
    <w:link w:val="a9"/>
    <w:uiPriority w:val="99"/>
    <w:semiHidden/>
    <w:rsid w:val="00160DB0"/>
    <w:rPr>
      <w:sz w:val="18"/>
      <w:szCs w:val="18"/>
    </w:rPr>
  </w:style>
  <w:style w:type="character" w:styleId="ab">
    <w:name w:val="annotation reference"/>
    <w:basedOn w:val="a0"/>
    <w:uiPriority w:val="99"/>
    <w:semiHidden/>
    <w:unhideWhenUsed/>
    <w:rsid w:val="00D006E6"/>
    <w:rPr>
      <w:sz w:val="21"/>
      <w:szCs w:val="21"/>
    </w:rPr>
  </w:style>
  <w:style w:type="paragraph" w:styleId="ac">
    <w:name w:val="annotation text"/>
    <w:basedOn w:val="a"/>
    <w:link w:val="ad"/>
    <w:uiPriority w:val="99"/>
    <w:semiHidden/>
    <w:unhideWhenUsed/>
    <w:rsid w:val="00D006E6"/>
    <w:pPr>
      <w:jc w:val="left"/>
    </w:pPr>
  </w:style>
  <w:style w:type="character" w:customStyle="1" w:styleId="ad">
    <w:name w:val="批注文字 字符"/>
    <w:basedOn w:val="a0"/>
    <w:link w:val="ac"/>
    <w:uiPriority w:val="99"/>
    <w:semiHidden/>
    <w:rsid w:val="00D006E6"/>
  </w:style>
  <w:style w:type="paragraph" w:styleId="ae">
    <w:name w:val="annotation subject"/>
    <w:basedOn w:val="ac"/>
    <w:next w:val="ac"/>
    <w:link w:val="af"/>
    <w:uiPriority w:val="99"/>
    <w:semiHidden/>
    <w:unhideWhenUsed/>
    <w:rsid w:val="00D006E6"/>
    <w:rPr>
      <w:b/>
      <w:bCs/>
    </w:rPr>
  </w:style>
  <w:style w:type="character" w:customStyle="1" w:styleId="af">
    <w:name w:val="批注主题 字符"/>
    <w:basedOn w:val="ad"/>
    <w:link w:val="ae"/>
    <w:uiPriority w:val="99"/>
    <w:semiHidden/>
    <w:rsid w:val="00D006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733983">
      <w:bodyDiv w:val="1"/>
      <w:marLeft w:val="0"/>
      <w:marRight w:val="0"/>
      <w:marTop w:val="0"/>
      <w:marBottom w:val="0"/>
      <w:divBdr>
        <w:top w:val="none" w:sz="0" w:space="0" w:color="auto"/>
        <w:left w:val="none" w:sz="0" w:space="0" w:color="auto"/>
        <w:bottom w:val="none" w:sz="0" w:space="0" w:color="auto"/>
        <w:right w:val="none" w:sz="0" w:space="0" w:color="auto"/>
      </w:divBdr>
    </w:div>
    <w:div w:id="1815029861">
      <w:bodyDiv w:val="1"/>
      <w:marLeft w:val="0"/>
      <w:marRight w:val="0"/>
      <w:marTop w:val="0"/>
      <w:marBottom w:val="0"/>
      <w:divBdr>
        <w:top w:val="none" w:sz="0" w:space="0" w:color="auto"/>
        <w:left w:val="none" w:sz="0" w:space="0" w:color="auto"/>
        <w:bottom w:val="none" w:sz="0" w:space="0" w:color="auto"/>
        <w:right w:val="none" w:sz="0" w:space="0" w:color="auto"/>
      </w:divBdr>
    </w:div>
    <w:div w:id="193235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ulas xmlns="http://www.yonyou.com/formula"/>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dataSourceCollection xmlns="http://www.yonyou.com/datasource"/>
</file>

<file path=customXml/itemProps1.xml><?xml version="1.0" encoding="utf-8"?>
<ds:datastoreItem xmlns:ds="http://schemas.openxmlformats.org/officeDocument/2006/customXml" ds:itemID="{22D25B27-87E3-4169-A45F-8AF9A42C23F4}">
  <ds:schemaRefs>
    <ds:schemaRef ds:uri="http://www.yonyou.com/formula"/>
  </ds:schemaRefs>
</ds:datastoreItem>
</file>

<file path=customXml/itemProps2.xml><?xml version="1.0" encoding="utf-8"?>
<ds:datastoreItem xmlns:ds="http://schemas.openxmlformats.org/officeDocument/2006/customXml" ds:itemID="{8EC721F4-02D6-4D4F-8622-12DF64092D4C}">
  <ds:schemaRefs>
    <ds:schemaRef ds:uri="http://www.yonyou.com/relation"/>
  </ds:schemaRefs>
</ds:datastoreItem>
</file>

<file path=customXml/itemProps3.xml><?xml version="1.0" encoding="utf-8"?>
<ds:datastoreItem xmlns:ds="http://schemas.openxmlformats.org/officeDocument/2006/customXml" ds:itemID="{0E116F56-9027-4C2C-BF8F-2846DCB6DFD7}">
  <ds:schemaRefs>
    <ds:schemaRef ds:uri="http://schemas.openxmlformats.org/officeDocument/2006/bibliography"/>
  </ds:schemaRefs>
</ds:datastoreItem>
</file>

<file path=customXml/itemProps4.xml><?xml version="1.0" encoding="utf-8"?>
<ds:datastoreItem xmlns:ds="http://schemas.openxmlformats.org/officeDocument/2006/customXml" ds:itemID="{B7B98DE5-C5C3-4FDF-BA72-D1357E12860B}">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4</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 wenwen</dc:creator>
  <cp:keywords/>
  <dc:description/>
  <cp:lastModifiedBy>ZWW</cp:lastModifiedBy>
  <cp:revision>548</cp:revision>
  <dcterms:created xsi:type="dcterms:W3CDTF">2022-07-19T06:12:00Z</dcterms:created>
  <dcterms:modified xsi:type="dcterms:W3CDTF">2024-10-31T11:33:00Z</dcterms:modified>
</cp:coreProperties>
</file>