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D06CF" w:rsidRDefault="00000000">
      <w:pPr>
        <w:spacing w:beforeLines="50" w:before="156" w:afterLines="50" w:after="156" w:line="400" w:lineRule="exact"/>
        <w:rPr>
          <w:rFonts w:ascii="Times" w:hAnsi="Times" w:cs="Times"/>
          <w:color w:val="000000"/>
          <w:sz w:val="24"/>
          <w:szCs w:val="24"/>
        </w:rPr>
      </w:pPr>
      <w:r>
        <w:rPr>
          <w:rFonts w:ascii="Times" w:hAnsi="Times" w:cs="宋体" w:hint="eastAsia"/>
          <w:color w:val="000000"/>
          <w:sz w:val="24"/>
          <w:szCs w:val="24"/>
        </w:rPr>
        <w:t>证券代码：</w:t>
      </w:r>
      <w:r>
        <w:rPr>
          <w:rFonts w:ascii="Times" w:hAnsi="Times" w:cs="Times"/>
          <w:color w:val="000000"/>
          <w:sz w:val="24"/>
          <w:szCs w:val="24"/>
        </w:rPr>
        <w:t xml:space="preserve">600373                                 </w:t>
      </w:r>
      <w:r>
        <w:rPr>
          <w:rFonts w:ascii="Times" w:hAnsi="Times" w:cs="宋体" w:hint="eastAsia"/>
          <w:color w:val="000000"/>
          <w:sz w:val="24"/>
          <w:szCs w:val="24"/>
        </w:rPr>
        <w:t>证券简称：中文传媒</w:t>
      </w:r>
    </w:p>
    <w:p w:rsidR="006D06CF" w:rsidRDefault="00000000">
      <w:pPr>
        <w:spacing w:beforeLines="50" w:before="156" w:afterLines="50" w:after="156" w:line="400" w:lineRule="exact"/>
        <w:jc w:val="center"/>
        <w:rPr>
          <w:rFonts w:ascii="Times" w:hAnsi="Times" w:cs="Times"/>
          <w:b/>
          <w:bCs/>
          <w:color w:val="000000"/>
          <w:sz w:val="32"/>
          <w:szCs w:val="32"/>
        </w:rPr>
      </w:pPr>
      <w:r>
        <w:rPr>
          <w:rFonts w:ascii="Times" w:hAnsi="Times" w:cs="宋体" w:hint="eastAsia"/>
          <w:b/>
          <w:bCs/>
          <w:color w:val="000000"/>
          <w:sz w:val="32"/>
          <w:szCs w:val="32"/>
        </w:rPr>
        <w:t>中文天地出版传媒集团股份有限公司</w:t>
      </w:r>
    </w:p>
    <w:p w:rsidR="006D06CF" w:rsidRDefault="00000000">
      <w:pPr>
        <w:spacing w:beforeLines="50" w:before="156" w:afterLines="50" w:after="156" w:line="400" w:lineRule="exact"/>
        <w:jc w:val="center"/>
        <w:rPr>
          <w:rFonts w:ascii="Times" w:hAnsi="Times" w:cs="Times"/>
          <w:b/>
          <w:bCs/>
          <w:color w:val="000000"/>
          <w:sz w:val="32"/>
          <w:szCs w:val="32"/>
        </w:rPr>
      </w:pPr>
      <w:r>
        <w:rPr>
          <w:rFonts w:ascii="Times" w:hAnsi="Times" w:cs="宋体" w:hint="eastAsia"/>
          <w:b/>
          <w:bCs/>
          <w:color w:val="000000"/>
          <w:sz w:val="32"/>
          <w:szCs w:val="32"/>
        </w:rPr>
        <w:t>投资者关系活动记录表</w:t>
      </w:r>
    </w:p>
    <w:p w:rsidR="006D06CF" w:rsidRDefault="00000000">
      <w:pPr>
        <w:spacing w:line="400" w:lineRule="exact"/>
        <w:rPr>
          <w:rFonts w:ascii="Times" w:hAnsi="Times" w:cs="Times"/>
          <w:color w:val="000000"/>
          <w:sz w:val="24"/>
          <w:szCs w:val="24"/>
        </w:rPr>
      </w:pPr>
      <w:r>
        <w:rPr>
          <w:rFonts w:ascii="Times" w:hAnsi="Times" w:cs="Times"/>
          <w:color w:val="000000"/>
          <w:sz w:val="24"/>
          <w:szCs w:val="24"/>
        </w:rPr>
        <w:t xml:space="preserve">                                                         </w:t>
      </w:r>
      <w:r>
        <w:rPr>
          <w:rFonts w:ascii="Times" w:hAnsi="Times" w:cs="宋体" w:hint="eastAsia"/>
          <w:color w:val="000000"/>
          <w:sz w:val="24"/>
          <w:szCs w:val="24"/>
        </w:rPr>
        <w:t>编号：</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512"/>
      </w:tblGrid>
      <w:tr w:rsidR="006D06CF">
        <w:tc>
          <w:tcPr>
            <w:tcW w:w="1702" w:type="dxa"/>
            <w:vAlign w:val="center"/>
          </w:tcPr>
          <w:p w:rsidR="006D06CF" w:rsidRDefault="00000000">
            <w:pPr>
              <w:spacing w:line="480" w:lineRule="atLeast"/>
              <w:jc w:val="center"/>
              <w:rPr>
                <w:rFonts w:ascii="仿宋" w:eastAsia="仿宋" w:hAnsi="仿宋" w:cs="Times" w:hint="eastAsia"/>
                <w:color w:val="000000"/>
                <w:kern w:val="0"/>
                <w:sz w:val="24"/>
                <w:szCs w:val="24"/>
              </w:rPr>
            </w:pPr>
            <w:r>
              <w:rPr>
                <w:rFonts w:ascii="仿宋" w:eastAsia="仿宋" w:hAnsi="仿宋" w:cs="宋体" w:hint="eastAsia"/>
                <w:color w:val="000000"/>
                <w:kern w:val="0"/>
                <w:sz w:val="24"/>
                <w:szCs w:val="24"/>
              </w:rPr>
              <w:t>投资者关系活动类别</w:t>
            </w:r>
          </w:p>
        </w:tc>
        <w:tc>
          <w:tcPr>
            <w:tcW w:w="7512" w:type="dxa"/>
          </w:tcPr>
          <w:p w:rsidR="006D06CF" w:rsidRDefault="00000000">
            <w:pPr>
              <w:spacing w:line="480" w:lineRule="atLeast"/>
              <w:rPr>
                <w:rFonts w:ascii="仿宋" w:eastAsia="仿宋" w:hAnsi="仿宋" w:hint="eastAsia"/>
                <w:kern w:val="0"/>
                <w:sz w:val="24"/>
                <w:szCs w:val="24"/>
              </w:rPr>
            </w:pPr>
            <w:r>
              <w:rPr>
                <w:rFonts w:ascii="仿宋" w:eastAsia="仿宋" w:hAnsi="仿宋" w:cs="仿宋_GB2312" w:hint="eastAsia"/>
                <w:kern w:val="0"/>
                <w:sz w:val="24"/>
                <w:szCs w:val="24"/>
              </w:rPr>
              <w:t>□特定对象调研</w:t>
            </w:r>
            <w:r>
              <w:rPr>
                <w:rFonts w:ascii="仿宋" w:eastAsia="仿宋" w:hAnsi="仿宋" w:cs="仿宋_GB2312"/>
                <w:kern w:val="0"/>
                <w:sz w:val="24"/>
                <w:szCs w:val="24"/>
              </w:rPr>
              <w:t xml:space="preserve">        </w:t>
            </w:r>
            <w:r>
              <w:rPr>
                <w:rFonts w:ascii="仿宋" w:eastAsia="仿宋" w:hAnsi="仿宋" w:cs="仿宋_GB2312" w:hint="eastAsia"/>
                <w:kern w:val="0"/>
                <w:sz w:val="24"/>
                <w:szCs w:val="24"/>
              </w:rPr>
              <w:t>□分析师会议</w:t>
            </w:r>
          </w:p>
          <w:p w:rsidR="006D06CF" w:rsidRDefault="00000000">
            <w:pPr>
              <w:spacing w:line="480" w:lineRule="atLeast"/>
              <w:rPr>
                <w:rFonts w:ascii="仿宋" w:eastAsia="仿宋" w:hAnsi="仿宋" w:hint="eastAsia"/>
                <w:kern w:val="0"/>
                <w:sz w:val="24"/>
                <w:szCs w:val="24"/>
              </w:rPr>
            </w:pPr>
            <w:r>
              <w:rPr>
                <w:rFonts w:ascii="仿宋" w:eastAsia="仿宋" w:hAnsi="仿宋" w:cs="仿宋_GB2312" w:hint="eastAsia"/>
                <w:kern w:val="0"/>
                <w:sz w:val="24"/>
                <w:szCs w:val="24"/>
              </w:rPr>
              <w:t>□媒体采访</w:t>
            </w:r>
            <w:r>
              <w:rPr>
                <w:rFonts w:ascii="仿宋" w:eastAsia="仿宋" w:hAnsi="仿宋" w:cs="仿宋_GB2312"/>
                <w:kern w:val="0"/>
                <w:sz w:val="24"/>
                <w:szCs w:val="24"/>
              </w:rPr>
              <w:t xml:space="preserve">            </w:t>
            </w:r>
            <w:r>
              <w:rPr>
                <w:rFonts w:ascii="仿宋" w:eastAsia="仿宋" w:hAnsi="仿宋" w:cs="Times"/>
                <w:color w:val="000000"/>
                <w:kern w:val="0"/>
                <w:sz w:val="24"/>
                <w:szCs w:val="24"/>
              </w:rPr>
              <w:sym w:font="Wingdings" w:char="F0FE"/>
            </w:r>
            <w:r>
              <w:rPr>
                <w:rFonts w:ascii="仿宋" w:eastAsia="仿宋" w:hAnsi="仿宋" w:cs="仿宋_GB2312" w:hint="eastAsia"/>
                <w:kern w:val="0"/>
                <w:sz w:val="24"/>
                <w:szCs w:val="24"/>
              </w:rPr>
              <w:t>业绩说明会</w:t>
            </w:r>
          </w:p>
          <w:p w:rsidR="006D06CF" w:rsidRDefault="00000000">
            <w:pPr>
              <w:spacing w:line="480" w:lineRule="atLeast"/>
              <w:rPr>
                <w:rFonts w:ascii="仿宋" w:eastAsia="仿宋" w:hAnsi="仿宋" w:hint="eastAsia"/>
                <w:kern w:val="0"/>
                <w:sz w:val="24"/>
                <w:szCs w:val="24"/>
              </w:rPr>
            </w:pPr>
            <w:r>
              <w:rPr>
                <w:rFonts w:ascii="仿宋" w:eastAsia="仿宋" w:hAnsi="仿宋" w:cs="仿宋_GB2312" w:hint="eastAsia"/>
                <w:kern w:val="0"/>
                <w:sz w:val="24"/>
                <w:szCs w:val="24"/>
              </w:rPr>
              <w:t>□新闻发布会</w:t>
            </w:r>
            <w:r>
              <w:rPr>
                <w:rFonts w:ascii="仿宋" w:eastAsia="仿宋" w:hAnsi="仿宋" w:cs="仿宋_GB2312"/>
                <w:kern w:val="0"/>
                <w:sz w:val="24"/>
                <w:szCs w:val="24"/>
              </w:rPr>
              <w:t xml:space="preserve">          </w:t>
            </w:r>
            <w:r>
              <w:rPr>
                <w:rFonts w:ascii="仿宋" w:eastAsia="仿宋" w:hAnsi="仿宋" w:cs="仿宋_GB2312" w:hint="eastAsia"/>
                <w:kern w:val="0"/>
                <w:sz w:val="24"/>
                <w:szCs w:val="24"/>
              </w:rPr>
              <w:t>□路演活动</w:t>
            </w:r>
          </w:p>
          <w:p w:rsidR="006D06CF" w:rsidRDefault="00000000">
            <w:pPr>
              <w:tabs>
                <w:tab w:val="left" w:pos="3045"/>
                <w:tab w:val="center" w:pos="3199"/>
              </w:tabs>
              <w:spacing w:line="480" w:lineRule="atLeast"/>
              <w:rPr>
                <w:rFonts w:ascii="仿宋" w:eastAsia="仿宋" w:hAnsi="仿宋" w:cs="Times" w:hint="eastAsia"/>
                <w:color w:val="000000"/>
                <w:kern w:val="0"/>
                <w:sz w:val="24"/>
                <w:szCs w:val="24"/>
              </w:rPr>
            </w:pPr>
            <w:r>
              <w:rPr>
                <w:rFonts w:ascii="仿宋" w:eastAsia="仿宋" w:hAnsi="仿宋" w:cs="仿宋_GB2312" w:hint="eastAsia"/>
                <w:kern w:val="0"/>
                <w:sz w:val="24"/>
                <w:szCs w:val="24"/>
              </w:rPr>
              <w:t>□现场参观</w:t>
            </w:r>
            <w:r>
              <w:rPr>
                <w:rFonts w:ascii="仿宋" w:eastAsia="仿宋" w:hAnsi="仿宋" w:cs="Times"/>
                <w:color w:val="000000"/>
                <w:kern w:val="0"/>
                <w:sz w:val="24"/>
                <w:szCs w:val="24"/>
              </w:rPr>
              <w:tab/>
            </w:r>
          </w:p>
          <w:p w:rsidR="006D06CF" w:rsidRDefault="00000000">
            <w:pPr>
              <w:tabs>
                <w:tab w:val="center" w:pos="3199"/>
              </w:tabs>
              <w:spacing w:line="480" w:lineRule="atLeast"/>
              <w:rPr>
                <w:rFonts w:ascii="仿宋" w:eastAsia="仿宋" w:hAnsi="仿宋" w:cs="Times" w:hint="eastAsia"/>
                <w:color w:val="000000"/>
                <w:kern w:val="0"/>
                <w:sz w:val="24"/>
                <w:szCs w:val="24"/>
              </w:rPr>
            </w:pPr>
            <w:r>
              <w:rPr>
                <w:rFonts w:ascii="仿宋" w:eastAsia="仿宋" w:hAnsi="仿宋" w:cs="Times"/>
                <w:color w:val="000000"/>
                <w:kern w:val="0"/>
                <w:sz w:val="24"/>
                <w:szCs w:val="24"/>
              </w:rPr>
              <w:sym w:font="Wingdings" w:char="F0FE"/>
            </w:r>
            <w:r>
              <w:rPr>
                <w:rFonts w:ascii="仿宋" w:eastAsia="仿宋" w:hAnsi="仿宋" w:cs="仿宋_GB2312" w:hint="eastAsia"/>
                <w:kern w:val="0"/>
                <w:sz w:val="24"/>
                <w:szCs w:val="24"/>
              </w:rPr>
              <w:t>其他（IR电话会议、现场接待投资机构）</w:t>
            </w:r>
          </w:p>
        </w:tc>
      </w:tr>
      <w:tr w:rsidR="006D06CF">
        <w:trPr>
          <w:trHeight w:val="1870"/>
        </w:trPr>
        <w:tc>
          <w:tcPr>
            <w:tcW w:w="1702" w:type="dxa"/>
            <w:vAlign w:val="center"/>
          </w:tcPr>
          <w:p w:rsidR="006D06CF" w:rsidRDefault="00000000">
            <w:pPr>
              <w:jc w:val="center"/>
              <w:rPr>
                <w:rFonts w:ascii="仿宋" w:eastAsia="仿宋" w:hAnsi="仿宋" w:cs="Times" w:hint="eastAsia"/>
                <w:color w:val="000000"/>
                <w:kern w:val="0"/>
                <w:sz w:val="24"/>
                <w:szCs w:val="24"/>
              </w:rPr>
            </w:pPr>
            <w:r>
              <w:rPr>
                <w:rFonts w:ascii="仿宋" w:eastAsia="仿宋" w:hAnsi="仿宋" w:cs="宋体" w:hint="eastAsia"/>
                <w:color w:val="000000"/>
                <w:kern w:val="0"/>
                <w:sz w:val="24"/>
                <w:szCs w:val="24"/>
              </w:rPr>
              <w:t>参与单位名称及人员姓名</w:t>
            </w:r>
          </w:p>
        </w:tc>
        <w:tc>
          <w:tcPr>
            <w:tcW w:w="7512" w:type="dxa"/>
            <w:vAlign w:val="center"/>
          </w:tcPr>
          <w:p w:rsidR="006D06CF" w:rsidRDefault="00000000">
            <w:pPr>
              <w:rPr>
                <w:rFonts w:ascii="仿宋" w:eastAsia="仿宋" w:hAnsi="仿宋" w:cs="Times" w:hint="eastAsia"/>
                <w:color w:val="000000"/>
                <w:kern w:val="0"/>
                <w:sz w:val="24"/>
                <w:szCs w:val="24"/>
              </w:rPr>
            </w:pPr>
            <w:r>
              <w:rPr>
                <w:rFonts w:ascii="仿宋" w:eastAsia="仿宋" w:hAnsi="仿宋" w:cs="Times" w:hint="eastAsia"/>
                <w:color w:val="000000"/>
                <w:kern w:val="0"/>
                <w:sz w:val="24"/>
                <w:szCs w:val="24"/>
              </w:rPr>
              <w:t>中泰传媒、中信建投、泰康资产、银华基金、申万宏源、申万菱信基金、国泰基金、广发基金、西部利得基金、金信基金、华安基金、北京源乐晟资管、中意资管、汇华理财、</w:t>
            </w:r>
            <w:proofErr w:type="gramStart"/>
            <w:r>
              <w:rPr>
                <w:rFonts w:ascii="仿宋" w:eastAsia="仿宋" w:hAnsi="仿宋" w:cs="Times" w:hint="eastAsia"/>
                <w:color w:val="000000"/>
                <w:kern w:val="0"/>
                <w:sz w:val="24"/>
                <w:szCs w:val="24"/>
              </w:rPr>
              <w:t>兴证基金</w:t>
            </w:r>
            <w:proofErr w:type="gramEnd"/>
            <w:r>
              <w:rPr>
                <w:rFonts w:ascii="仿宋" w:eastAsia="仿宋" w:hAnsi="仿宋" w:cs="Times" w:hint="eastAsia"/>
                <w:color w:val="000000"/>
                <w:kern w:val="0"/>
                <w:sz w:val="24"/>
                <w:szCs w:val="24"/>
              </w:rPr>
              <w:t>、</w:t>
            </w:r>
            <w:proofErr w:type="gramStart"/>
            <w:r>
              <w:rPr>
                <w:rFonts w:ascii="仿宋" w:eastAsia="仿宋" w:hAnsi="仿宋" w:cs="Times" w:hint="eastAsia"/>
                <w:color w:val="000000"/>
                <w:kern w:val="0"/>
                <w:sz w:val="24"/>
                <w:szCs w:val="24"/>
              </w:rPr>
              <w:t>名禹资管</w:t>
            </w:r>
            <w:proofErr w:type="gramEnd"/>
            <w:r>
              <w:rPr>
                <w:rFonts w:ascii="仿宋" w:eastAsia="仿宋" w:hAnsi="仿宋" w:cs="Times" w:hint="eastAsia"/>
                <w:color w:val="000000"/>
                <w:kern w:val="0"/>
                <w:sz w:val="24"/>
                <w:szCs w:val="24"/>
              </w:rPr>
              <w:t>、中信资管、西南证券、宁银理财、南方基金、招银理财等。</w:t>
            </w:r>
          </w:p>
        </w:tc>
      </w:tr>
      <w:tr w:rsidR="006D06CF">
        <w:trPr>
          <w:trHeight w:val="564"/>
        </w:trPr>
        <w:tc>
          <w:tcPr>
            <w:tcW w:w="1702" w:type="dxa"/>
            <w:vAlign w:val="center"/>
          </w:tcPr>
          <w:p w:rsidR="006D06CF" w:rsidRDefault="00000000">
            <w:pPr>
              <w:jc w:val="center"/>
              <w:rPr>
                <w:rFonts w:ascii="仿宋" w:eastAsia="仿宋" w:hAnsi="仿宋" w:cs="Times" w:hint="eastAsia"/>
                <w:color w:val="000000"/>
                <w:kern w:val="0"/>
                <w:sz w:val="24"/>
                <w:szCs w:val="24"/>
              </w:rPr>
            </w:pPr>
            <w:r>
              <w:rPr>
                <w:rFonts w:ascii="仿宋" w:eastAsia="仿宋" w:hAnsi="仿宋" w:cs="宋体" w:hint="eastAsia"/>
                <w:color w:val="000000"/>
                <w:kern w:val="0"/>
                <w:sz w:val="24"/>
                <w:szCs w:val="24"/>
              </w:rPr>
              <w:t>时间</w:t>
            </w:r>
          </w:p>
        </w:tc>
        <w:tc>
          <w:tcPr>
            <w:tcW w:w="7512" w:type="dxa"/>
            <w:vAlign w:val="center"/>
          </w:tcPr>
          <w:p w:rsidR="006D06CF" w:rsidRDefault="00000000">
            <w:pPr>
              <w:rPr>
                <w:rFonts w:ascii="仿宋" w:eastAsia="仿宋" w:hAnsi="仿宋" w:hint="eastAsia"/>
                <w:kern w:val="0"/>
                <w:sz w:val="24"/>
                <w:szCs w:val="24"/>
              </w:rPr>
            </w:pPr>
            <w:r>
              <w:rPr>
                <w:rFonts w:ascii="仿宋" w:eastAsia="仿宋" w:hAnsi="仿宋" w:cs="仿宋_GB2312"/>
                <w:kern w:val="0"/>
                <w:sz w:val="24"/>
                <w:szCs w:val="24"/>
              </w:rPr>
              <w:t>202</w:t>
            </w:r>
            <w:r>
              <w:rPr>
                <w:rFonts w:ascii="仿宋" w:eastAsia="仿宋" w:hAnsi="仿宋" w:cs="仿宋_GB2312" w:hint="eastAsia"/>
                <w:kern w:val="0"/>
                <w:sz w:val="24"/>
                <w:szCs w:val="24"/>
              </w:rPr>
              <w:t>4年10月31至2024年11月1日</w:t>
            </w:r>
          </w:p>
        </w:tc>
      </w:tr>
      <w:tr w:rsidR="006D06CF">
        <w:trPr>
          <w:trHeight w:val="558"/>
        </w:trPr>
        <w:tc>
          <w:tcPr>
            <w:tcW w:w="1702" w:type="dxa"/>
            <w:vAlign w:val="center"/>
          </w:tcPr>
          <w:p w:rsidR="006D06CF" w:rsidRDefault="00000000">
            <w:pPr>
              <w:jc w:val="center"/>
              <w:rPr>
                <w:rFonts w:ascii="仿宋" w:eastAsia="仿宋" w:hAnsi="仿宋" w:cs="Times" w:hint="eastAsia"/>
                <w:color w:val="000000"/>
                <w:kern w:val="0"/>
                <w:sz w:val="24"/>
                <w:szCs w:val="24"/>
              </w:rPr>
            </w:pPr>
            <w:r>
              <w:rPr>
                <w:rFonts w:ascii="仿宋" w:eastAsia="仿宋" w:hAnsi="仿宋" w:cs="宋体" w:hint="eastAsia"/>
                <w:color w:val="000000"/>
                <w:kern w:val="0"/>
                <w:sz w:val="24"/>
                <w:szCs w:val="24"/>
              </w:rPr>
              <w:t>参会方式</w:t>
            </w:r>
          </w:p>
        </w:tc>
        <w:tc>
          <w:tcPr>
            <w:tcW w:w="7512" w:type="dxa"/>
            <w:vAlign w:val="center"/>
          </w:tcPr>
          <w:p w:rsidR="006D06CF" w:rsidRDefault="00000000">
            <w:pPr>
              <w:rPr>
                <w:rFonts w:ascii="仿宋" w:eastAsia="仿宋" w:hAnsi="仿宋" w:hint="eastAsia"/>
                <w:kern w:val="0"/>
                <w:sz w:val="24"/>
                <w:szCs w:val="24"/>
              </w:rPr>
            </w:pPr>
            <w:r>
              <w:rPr>
                <w:rFonts w:ascii="仿宋" w:eastAsia="仿宋" w:hAnsi="仿宋" w:cs="仿宋_GB2312" w:hint="eastAsia"/>
                <w:kern w:val="0"/>
                <w:sz w:val="24"/>
                <w:szCs w:val="24"/>
              </w:rPr>
              <w:t>电话会议与网络文字互动</w:t>
            </w:r>
          </w:p>
        </w:tc>
      </w:tr>
      <w:tr w:rsidR="006D06CF">
        <w:trPr>
          <w:trHeight w:val="1828"/>
        </w:trPr>
        <w:tc>
          <w:tcPr>
            <w:tcW w:w="1702" w:type="dxa"/>
            <w:vAlign w:val="center"/>
          </w:tcPr>
          <w:p w:rsidR="006D06CF" w:rsidRDefault="00000000">
            <w:pPr>
              <w:spacing w:line="480" w:lineRule="atLeast"/>
              <w:jc w:val="center"/>
              <w:rPr>
                <w:rFonts w:ascii="仿宋" w:eastAsia="仿宋" w:hAnsi="仿宋" w:cs="Times" w:hint="eastAsia"/>
                <w:color w:val="000000"/>
                <w:kern w:val="0"/>
                <w:sz w:val="24"/>
                <w:szCs w:val="24"/>
              </w:rPr>
            </w:pPr>
            <w:r>
              <w:rPr>
                <w:rFonts w:ascii="仿宋" w:eastAsia="仿宋" w:hAnsi="仿宋" w:cs="宋体" w:hint="eastAsia"/>
                <w:color w:val="000000"/>
                <w:kern w:val="0"/>
                <w:sz w:val="24"/>
                <w:szCs w:val="24"/>
              </w:rPr>
              <w:t>上市公司接待人员姓名</w:t>
            </w:r>
          </w:p>
        </w:tc>
        <w:tc>
          <w:tcPr>
            <w:tcW w:w="7512" w:type="dxa"/>
            <w:vAlign w:val="center"/>
          </w:tcPr>
          <w:p w:rsidR="006D06CF" w:rsidRDefault="00000000">
            <w:pPr>
              <w:widowControl/>
              <w:jc w:val="left"/>
              <w:rPr>
                <w:rFonts w:ascii="仿宋" w:eastAsia="仿宋" w:hAnsi="仿宋" w:cs="仿宋_GB2312" w:hint="eastAsia"/>
                <w:kern w:val="0"/>
                <w:sz w:val="24"/>
                <w:szCs w:val="24"/>
              </w:rPr>
            </w:pPr>
            <w:r>
              <w:rPr>
                <w:rFonts w:ascii="仿宋" w:eastAsia="仿宋" w:hAnsi="仿宋" w:cs="仿宋_GB2312" w:hint="eastAsia"/>
                <w:kern w:val="0"/>
                <w:sz w:val="24"/>
                <w:szCs w:val="24"/>
              </w:rPr>
              <w:t>中文传媒董事会秘书 毛剑波</w:t>
            </w:r>
          </w:p>
          <w:p w:rsidR="006D06CF" w:rsidRDefault="00000000">
            <w:pPr>
              <w:widowControl/>
              <w:jc w:val="left"/>
              <w:rPr>
                <w:rFonts w:ascii="仿宋" w:eastAsia="仿宋" w:hAnsi="仿宋" w:cs="仿宋_GB2312" w:hint="eastAsia"/>
                <w:kern w:val="0"/>
                <w:sz w:val="24"/>
                <w:szCs w:val="24"/>
              </w:rPr>
            </w:pPr>
            <w:r>
              <w:rPr>
                <w:rFonts w:ascii="仿宋" w:eastAsia="仿宋" w:hAnsi="仿宋" w:cs="仿宋_GB2312" w:hint="eastAsia"/>
                <w:kern w:val="0"/>
                <w:sz w:val="24"/>
                <w:szCs w:val="24"/>
              </w:rPr>
              <w:t>中文传媒</w:t>
            </w:r>
            <w:proofErr w:type="gramStart"/>
            <w:r>
              <w:rPr>
                <w:rFonts w:ascii="仿宋" w:eastAsia="仿宋" w:hAnsi="仿宋" w:cs="仿宋_GB2312" w:hint="eastAsia"/>
                <w:kern w:val="0"/>
                <w:sz w:val="24"/>
                <w:szCs w:val="24"/>
              </w:rPr>
              <w:t>证证券</w:t>
            </w:r>
            <w:proofErr w:type="gramEnd"/>
            <w:r>
              <w:rPr>
                <w:rFonts w:ascii="仿宋" w:eastAsia="仿宋" w:hAnsi="仿宋" w:cs="仿宋_GB2312" w:hint="eastAsia"/>
                <w:kern w:val="0"/>
                <w:sz w:val="24"/>
                <w:szCs w:val="24"/>
              </w:rPr>
              <w:t>法律部主任 赵卫红</w:t>
            </w:r>
          </w:p>
          <w:p w:rsidR="006D06CF" w:rsidRDefault="00000000">
            <w:pPr>
              <w:widowControl/>
              <w:jc w:val="left"/>
              <w:rPr>
                <w:rFonts w:ascii="仿宋" w:eastAsia="仿宋" w:hAnsi="仿宋" w:cs="仿宋_GB2312" w:hint="eastAsia"/>
                <w:kern w:val="0"/>
                <w:sz w:val="24"/>
                <w:szCs w:val="24"/>
              </w:rPr>
            </w:pPr>
            <w:r>
              <w:rPr>
                <w:rFonts w:ascii="仿宋" w:eastAsia="仿宋" w:hAnsi="仿宋" w:cs="仿宋_GB2312" w:hint="eastAsia"/>
                <w:kern w:val="0"/>
                <w:sz w:val="24"/>
                <w:szCs w:val="24"/>
              </w:rPr>
              <w:t xml:space="preserve">中文传媒资产财务部副主任 </w:t>
            </w:r>
            <w:proofErr w:type="gramStart"/>
            <w:r>
              <w:rPr>
                <w:rFonts w:ascii="仿宋" w:eastAsia="仿宋" w:hAnsi="仿宋" w:cs="仿宋_GB2312" w:hint="eastAsia"/>
                <w:kern w:val="0"/>
                <w:sz w:val="24"/>
                <w:szCs w:val="24"/>
              </w:rPr>
              <w:t>周华剑</w:t>
            </w:r>
            <w:proofErr w:type="gramEnd"/>
          </w:p>
        </w:tc>
      </w:tr>
      <w:tr w:rsidR="006D06CF">
        <w:trPr>
          <w:trHeight w:val="558"/>
        </w:trPr>
        <w:tc>
          <w:tcPr>
            <w:tcW w:w="1702" w:type="dxa"/>
            <w:vAlign w:val="center"/>
          </w:tcPr>
          <w:p w:rsidR="006D06CF" w:rsidRDefault="00000000">
            <w:pPr>
              <w:spacing w:line="480" w:lineRule="atLeas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投资者关系活动主要内容</w:t>
            </w:r>
          </w:p>
          <w:p w:rsidR="006D06CF" w:rsidRDefault="00000000">
            <w:pPr>
              <w:spacing w:line="480" w:lineRule="atLeast"/>
              <w:jc w:val="center"/>
              <w:rPr>
                <w:rFonts w:ascii="仿宋" w:eastAsia="仿宋" w:hAnsi="仿宋" w:cs="Times" w:hint="eastAsia"/>
                <w:color w:val="000000"/>
                <w:kern w:val="0"/>
                <w:sz w:val="24"/>
                <w:szCs w:val="24"/>
              </w:rPr>
            </w:pPr>
            <w:r>
              <w:rPr>
                <w:rFonts w:ascii="仿宋" w:eastAsia="仿宋" w:hAnsi="仿宋" w:cs="宋体" w:hint="eastAsia"/>
                <w:color w:val="000000"/>
                <w:kern w:val="0"/>
                <w:sz w:val="24"/>
                <w:szCs w:val="24"/>
              </w:rPr>
              <w:t>介绍</w:t>
            </w:r>
          </w:p>
        </w:tc>
        <w:tc>
          <w:tcPr>
            <w:tcW w:w="7512" w:type="dxa"/>
          </w:tcPr>
          <w:p w:rsidR="006D06CF" w:rsidRDefault="00000000">
            <w:pPr>
              <w:widowControl/>
              <w:ind w:firstLineChars="200" w:firstLine="480"/>
              <w:jc w:val="left"/>
              <w:rPr>
                <w:rFonts w:ascii="仿宋" w:eastAsia="仿宋" w:hAnsi="仿宋" w:hint="eastAsia"/>
                <w:sz w:val="24"/>
                <w:szCs w:val="24"/>
              </w:rPr>
            </w:pPr>
            <w:r>
              <w:rPr>
                <w:rFonts w:ascii="仿宋" w:eastAsia="仿宋" w:hAnsi="仿宋" w:hint="eastAsia"/>
                <w:sz w:val="24"/>
                <w:szCs w:val="24"/>
              </w:rPr>
              <w:t>为进一步加强与投资者的互动交流工作，便于广大投资者更加全面深入了解中文传媒基本情况，自三季度报告披露，公司积极开展投资者关系管理工作，通过召开业绩说明会、IR电话会议等方式与投资机构进行“一对一”“一对多”沟通，在信息披露允许的范围内，主要就公司各业务板块经营情况、未来分红政策、对外投资计划、战略发展规划</w:t>
            </w:r>
            <w:r>
              <w:rPr>
                <w:rFonts w:ascii="仿宋" w:eastAsia="仿宋" w:hAnsi="仿宋"/>
                <w:sz w:val="24"/>
                <w:szCs w:val="24"/>
              </w:rPr>
              <w:t>等事项进行</w:t>
            </w:r>
            <w:r>
              <w:rPr>
                <w:rFonts w:ascii="仿宋" w:eastAsia="仿宋" w:hAnsi="仿宋" w:hint="eastAsia"/>
                <w:sz w:val="24"/>
                <w:szCs w:val="24"/>
              </w:rPr>
              <w:t>充分交流。现将公司总体经营情况以及投资机构关注度较高的主要问题整理如下。</w:t>
            </w:r>
          </w:p>
          <w:p w:rsidR="006D06CF" w:rsidRDefault="006D06CF">
            <w:pPr>
              <w:widowControl/>
              <w:jc w:val="left"/>
              <w:rPr>
                <w:rFonts w:ascii="仿宋" w:eastAsia="仿宋" w:hAnsi="仿宋" w:hint="eastAsia"/>
                <w:sz w:val="24"/>
                <w:szCs w:val="24"/>
              </w:rPr>
            </w:pPr>
          </w:p>
          <w:p w:rsidR="006D06CF" w:rsidRDefault="00000000">
            <w:pPr>
              <w:widowControl/>
              <w:jc w:val="left"/>
              <w:rPr>
                <w:rFonts w:ascii="仿宋" w:eastAsia="仿宋" w:hAnsi="仿宋" w:hint="eastAsia"/>
                <w:b/>
                <w:bCs/>
                <w:sz w:val="24"/>
                <w:szCs w:val="24"/>
              </w:rPr>
            </w:pPr>
            <w:r>
              <w:rPr>
                <w:rFonts w:ascii="仿宋" w:eastAsia="仿宋" w:hAnsi="仿宋"/>
                <w:b/>
                <w:bCs/>
                <w:sz w:val="24"/>
                <w:szCs w:val="24"/>
              </w:rPr>
              <w:t>1.</w:t>
            </w:r>
            <w:r>
              <w:rPr>
                <w:rFonts w:ascii="仿宋" w:eastAsia="仿宋" w:hAnsi="仿宋" w:hint="eastAsia"/>
                <w:b/>
                <w:bCs/>
                <w:sz w:val="24"/>
                <w:szCs w:val="24"/>
              </w:rPr>
              <w:t>公司基本情况及三季度经营情况？</w:t>
            </w:r>
          </w:p>
          <w:p w:rsidR="006D06CF" w:rsidRDefault="00000000">
            <w:pPr>
              <w:widowControl/>
              <w:ind w:firstLineChars="200" w:firstLine="480"/>
              <w:jc w:val="left"/>
              <w:rPr>
                <w:rFonts w:ascii="仿宋" w:eastAsia="仿宋" w:hAnsi="仿宋" w:hint="eastAsia"/>
                <w:sz w:val="24"/>
                <w:szCs w:val="24"/>
              </w:rPr>
            </w:pPr>
            <w:r>
              <w:rPr>
                <w:rFonts w:ascii="仿宋" w:eastAsia="仿宋" w:hAnsi="仿宋" w:hint="eastAsia"/>
                <w:sz w:val="24"/>
                <w:szCs w:val="24"/>
              </w:rPr>
              <w:t>中文天地出版传媒集团股份有限公司（证券代码：600373，证券简称：中文传媒）是江西省出版传媒集团有限公司在2010年12月以其优质的主营业务整体借壳上市，具有多元化、平台化、资本化特点的现代大型出版传媒公司。</w:t>
            </w:r>
          </w:p>
          <w:p w:rsidR="006D06CF" w:rsidRDefault="00000000">
            <w:pPr>
              <w:widowControl/>
              <w:ind w:firstLineChars="200" w:firstLine="480"/>
              <w:jc w:val="left"/>
              <w:rPr>
                <w:rFonts w:ascii="仿宋" w:eastAsia="仿宋" w:hAnsi="仿宋" w:hint="eastAsia"/>
                <w:sz w:val="24"/>
                <w:szCs w:val="24"/>
              </w:rPr>
            </w:pPr>
            <w:r>
              <w:rPr>
                <w:rFonts w:ascii="仿宋" w:eastAsia="仿宋" w:hAnsi="仿宋" w:hint="eastAsia"/>
                <w:sz w:val="24"/>
                <w:szCs w:val="24"/>
              </w:rPr>
              <w:lastRenderedPageBreak/>
              <w:t>经过14年的运营，目前中文传媒拥有21家全资及控股的一级子公司，200多家子分公司。公司主营业务包括出版发行、互联网游戏、数字出版、整合营销服务和投融资等，目前已形成“传统核心主业、新兴科技业态、资本创新经营”三足鼎立的利润格局。</w:t>
            </w:r>
          </w:p>
          <w:p w:rsidR="006D06CF" w:rsidRDefault="00000000">
            <w:pPr>
              <w:widowControl/>
              <w:ind w:firstLineChars="200" w:firstLine="480"/>
              <w:rPr>
                <w:rFonts w:ascii="仿宋" w:eastAsia="仿宋" w:hAnsi="仿宋" w:hint="eastAsia"/>
                <w:sz w:val="24"/>
                <w:szCs w:val="24"/>
              </w:rPr>
            </w:pPr>
            <w:r>
              <w:rPr>
                <w:rFonts w:ascii="仿宋" w:eastAsia="仿宋" w:hAnsi="仿宋" w:hint="eastAsia"/>
                <w:sz w:val="24"/>
                <w:szCs w:val="24"/>
              </w:rPr>
              <w:t>前三季度，中文传媒实现营业收入67.52亿元，同比下降4.34%；归属于上市公司股东的净利润7.28亿元，同比下降41.86%；截至报告期末，公司资产总额为317.55亿元，较年初增长8.42%；归属于上市公司股东的净资产180.59亿元，较年初减少2.04%。前三季度，公司出版板块实现营业收入26.95亿元，发行板块实现营业收入32.79亿元。</w:t>
            </w:r>
          </w:p>
          <w:p w:rsidR="006D06CF" w:rsidRDefault="006D06CF">
            <w:pPr>
              <w:widowControl/>
              <w:ind w:firstLineChars="200" w:firstLine="480"/>
              <w:jc w:val="left"/>
              <w:rPr>
                <w:rFonts w:ascii="仿宋" w:eastAsia="仿宋" w:hAnsi="仿宋" w:hint="eastAsia"/>
                <w:sz w:val="24"/>
                <w:szCs w:val="24"/>
              </w:rPr>
            </w:pPr>
          </w:p>
          <w:p w:rsidR="006D06CF" w:rsidRDefault="00000000">
            <w:pPr>
              <w:widowControl/>
              <w:jc w:val="left"/>
              <w:rPr>
                <w:rFonts w:ascii="仿宋" w:eastAsia="仿宋" w:hAnsi="仿宋" w:hint="eastAsia"/>
                <w:b/>
                <w:bCs/>
                <w:sz w:val="24"/>
                <w:szCs w:val="24"/>
              </w:rPr>
            </w:pPr>
            <w:r>
              <w:rPr>
                <w:rFonts w:ascii="仿宋" w:eastAsia="仿宋" w:hAnsi="仿宋" w:hint="eastAsia"/>
                <w:b/>
                <w:bCs/>
                <w:sz w:val="24"/>
                <w:szCs w:val="24"/>
              </w:rPr>
              <w:t>2.市场最近走好但贵公司今天公布三季报后股价接近跌停，请问贵公司将采取什么措施做好国企市值管理，如何重树投资者信心？公司账上资金很多但利息低，不如再次加大力度回购股份并注销。第四季度教辅经营会有所好转吗？全年利润会像三季报一样大幅下降吗？利润大幅下降那今后股息还会不会稳定增加？建议收购高科技公司，促进转型升级，促进稳健经营，让投资者放心持股。</w:t>
            </w:r>
          </w:p>
          <w:p w:rsidR="006D06CF" w:rsidRDefault="00000000">
            <w:pPr>
              <w:widowControl/>
              <w:ind w:firstLineChars="200" w:firstLine="480"/>
              <w:jc w:val="left"/>
              <w:rPr>
                <w:rFonts w:ascii="仿宋" w:eastAsia="仿宋" w:hAnsi="仿宋" w:hint="eastAsia"/>
                <w:sz w:val="24"/>
                <w:szCs w:val="24"/>
              </w:rPr>
            </w:pPr>
            <w:r>
              <w:rPr>
                <w:rFonts w:ascii="仿宋" w:eastAsia="仿宋" w:hAnsi="仿宋" w:hint="eastAsia"/>
                <w:sz w:val="24"/>
                <w:szCs w:val="24"/>
              </w:rPr>
              <w:t>2024年秋季学期，因江西省中小学生教辅图书征订方式发生变化，不再通过学校向学生统一征订（代购），公司第三季度经营情况受到一定影响。面对市场环境的变化，公司及时调整教辅发行策略，通过高位推动、市场下沉、业务多元化等举措积极应对，主要包括以下四个方面。一是网格化管理，按照全面覆盖、分级管理、层层负责、网格到校、责任到人的原则，制定差异化策略。二是线上线下协同，通过</w:t>
            </w:r>
            <w:proofErr w:type="gramStart"/>
            <w:r>
              <w:rPr>
                <w:rFonts w:ascii="仿宋" w:eastAsia="仿宋" w:hAnsi="仿宋" w:hint="eastAsia"/>
                <w:sz w:val="24"/>
                <w:szCs w:val="24"/>
              </w:rPr>
              <w:t>微信公众号</w:t>
            </w:r>
            <w:proofErr w:type="gramEnd"/>
            <w:r>
              <w:rPr>
                <w:rFonts w:ascii="仿宋" w:eastAsia="仿宋" w:hAnsi="仿宋" w:hint="eastAsia"/>
                <w:sz w:val="24"/>
                <w:szCs w:val="24"/>
              </w:rPr>
              <w:t>搭建“江西新华在线”模块，开展图书前端营销，线上征订，物流协同配送。三是配套激励，制定相应激励措施，充分调动员工积极性。四是打造精品出品，集中优势资源，巩固并开拓省内外教辅市场，提升图书市场核心竞争力。</w:t>
            </w:r>
          </w:p>
          <w:p w:rsidR="006D06CF" w:rsidRDefault="00000000">
            <w:pPr>
              <w:widowControl/>
              <w:ind w:firstLineChars="200" w:firstLine="480"/>
              <w:jc w:val="left"/>
              <w:rPr>
                <w:rFonts w:ascii="仿宋" w:eastAsia="仿宋" w:hAnsi="仿宋" w:hint="eastAsia"/>
                <w:sz w:val="24"/>
                <w:szCs w:val="24"/>
              </w:rPr>
            </w:pPr>
            <w:r>
              <w:rPr>
                <w:rFonts w:ascii="仿宋" w:eastAsia="仿宋" w:hAnsi="仿宋" w:hint="eastAsia"/>
                <w:sz w:val="24"/>
                <w:szCs w:val="24"/>
              </w:rPr>
              <w:t>中文传媒一直以来非常重视投资者回报，在保持稳健、可持续经营的基础上，每年通过现金分红，真金白银回报股东，实实在在提升投资者获得感，近五年现金分红总体呈稳步上升趋势，股息</w:t>
            </w:r>
            <w:proofErr w:type="gramStart"/>
            <w:r>
              <w:rPr>
                <w:rFonts w:ascii="仿宋" w:eastAsia="仿宋" w:hAnsi="仿宋" w:hint="eastAsia"/>
                <w:sz w:val="24"/>
                <w:szCs w:val="24"/>
              </w:rPr>
              <w:t>率表现</w:t>
            </w:r>
            <w:proofErr w:type="gramEnd"/>
            <w:r>
              <w:rPr>
                <w:rFonts w:ascii="仿宋" w:eastAsia="仿宋" w:hAnsi="仿宋" w:hint="eastAsia"/>
                <w:sz w:val="24"/>
                <w:szCs w:val="24"/>
              </w:rPr>
              <w:t>良好。未来，公司将综合考虑经营情况、盈利水平和资本需求，兼顾包括中小股东在内的股东整体利益等因素，积极维护利润分配政策的持续性和稳定性。</w:t>
            </w:r>
          </w:p>
          <w:p w:rsidR="006D06CF" w:rsidRDefault="006D06CF">
            <w:pPr>
              <w:widowControl/>
              <w:jc w:val="left"/>
              <w:rPr>
                <w:rFonts w:ascii="仿宋" w:eastAsia="仿宋" w:hAnsi="仿宋" w:hint="eastAsia"/>
                <w:b/>
                <w:bCs/>
                <w:sz w:val="24"/>
                <w:szCs w:val="24"/>
              </w:rPr>
            </w:pPr>
          </w:p>
          <w:p w:rsidR="006D06CF" w:rsidRDefault="00000000">
            <w:pPr>
              <w:widowControl/>
              <w:jc w:val="left"/>
              <w:rPr>
                <w:rFonts w:ascii="仿宋" w:eastAsia="仿宋" w:hAnsi="仿宋" w:hint="eastAsia"/>
                <w:b/>
                <w:bCs/>
                <w:sz w:val="24"/>
                <w:szCs w:val="24"/>
              </w:rPr>
            </w:pPr>
            <w:r>
              <w:rPr>
                <w:rFonts w:ascii="仿宋" w:eastAsia="仿宋" w:hAnsi="仿宋" w:hint="eastAsia"/>
                <w:b/>
                <w:bCs/>
                <w:sz w:val="24"/>
                <w:szCs w:val="24"/>
              </w:rPr>
              <w:t>3</w:t>
            </w:r>
            <w:r>
              <w:rPr>
                <w:rFonts w:ascii="仿宋" w:eastAsia="仿宋" w:hAnsi="仿宋"/>
                <w:b/>
                <w:bCs/>
                <w:sz w:val="24"/>
                <w:szCs w:val="24"/>
              </w:rPr>
              <w:t>.</w:t>
            </w:r>
            <w:r>
              <w:rPr>
                <w:rFonts w:ascii="仿宋" w:eastAsia="仿宋" w:hAnsi="仿宋" w:hint="eastAsia"/>
                <w:b/>
                <w:bCs/>
                <w:sz w:val="24"/>
                <w:szCs w:val="24"/>
              </w:rPr>
              <w:t>公司三季度业绩大幅下滑，主要是受什么因素影响？</w:t>
            </w:r>
          </w:p>
          <w:p w:rsidR="006D06CF" w:rsidRDefault="00000000">
            <w:pPr>
              <w:widowControl/>
              <w:ind w:firstLineChars="200" w:firstLine="480"/>
              <w:jc w:val="left"/>
              <w:rPr>
                <w:rFonts w:ascii="仿宋" w:eastAsia="仿宋" w:hAnsi="仿宋" w:hint="eastAsia"/>
                <w:sz w:val="24"/>
                <w:szCs w:val="24"/>
              </w:rPr>
            </w:pPr>
            <w:r>
              <w:rPr>
                <w:rFonts w:ascii="仿宋" w:eastAsia="仿宋" w:hAnsi="仿宋" w:hint="eastAsia"/>
                <w:sz w:val="24"/>
                <w:szCs w:val="24"/>
              </w:rPr>
              <w:t>公司三季度业绩下滑主要系所得税费用增加、教辅图书收入下降以及利息收入下降所致。</w:t>
            </w:r>
          </w:p>
          <w:p w:rsidR="006D06CF" w:rsidRDefault="006D06CF">
            <w:pPr>
              <w:widowControl/>
              <w:ind w:firstLineChars="200" w:firstLine="480"/>
              <w:jc w:val="left"/>
              <w:rPr>
                <w:rFonts w:ascii="仿宋" w:eastAsia="仿宋" w:hAnsi="仿宋" w:hint="eastAsia"/>
                <w:sz w:val="24"/>
                <w:szCs w:val="24"/>
              </w:rPr>
            </w:pPr>
          </w:p>
          <w:p w:rsidR="006D06CF" w:rsidRDefault="00000000">
            <w:pPr>
              <w:widowControl/>
              <w:jc w:val="left"/>
              <w:rPr>
                <w:rFonts w:ascii="仿宋" w:eastAsia="仿宋" w:hAnsi="仿宋" w:hint="eastAsia"/>
                <w:b/>
                <w:bCs/>
                <w:sz w:val="24"/>
                <w:szCs w:val="24"/>
              </w:rPr>
            </w:pPr>
            <w:r>
              <w:rPr>
                <w:rFonts w:ascii="仿宋" w:eastAsia="仿宋" w:hAnsi="仿宋" w:hint="eastAsia"/>
                <w:b/>
                <w:bCs/>
                <w:sz w:val="24"/>
                <w:szCs w:val="24"/>
              </w:rPr>
              <w:t>4</w:t>
            </w:r>
            <w:r>
              <w:rPr>
                <w:rFonts w:ascii="仿宋" w:eastAsia="仿宋" w:hAnsi="仿宋"/>
                <w:b/>
                <w:bCs/>
                <w:sz w:val="24"/>
                <w:szCs w:val="24"/>
              </w:rPr>
              <w:t>.</w:t>
            </w:r>
            <w:r>
              <w:rPr>
                <w:rFonts w:hint="eastAsia"/>
              </w:rPr>
              <w:t xml:space="preserve"> </w:t>
            </w:r>
            <w:r>
              <w:rPr>
                <w:rFonts w:ascii="仿宋" w:eastAsia="仿宋" w:hAnsi="仿宋" w:hint="eastAsia"/>
                <w:b/>
                <w:bCs/>
                <w:sz w:val="24"/>
                <w:szCs w:val="24"/>
              </w:rPr>
              <w:t>公司市盈率长期处于较低水平，而账面上却存有大量现金。建议公司持续进行股票回购，建议大股东借助国家增持回购的专项工具来实施增持，以此维护贵公司的市值以及投资者的信心。</w:t>
            </w:r>
          </w:p>
          <w:p w:rsidR="006D06CF" w:rsidRDefault="00000000">
            <w:pPr>
              <w:widowControl/>
              <w:ind w:firstLineChars="200" w:firstLine="480"/>
              <w:jc w:val="left"/>
              <w:rPr>
                <w:rFonts w:ascii="仿宋" w:eastAsia="仿宋" w:hAnsi="仿宋" w:hint="eastAsia"/>
                <w:sz w:val="24"/>
                <w:szCs w:val="24"/>
              </w:rPr>
            </w:pPr>
            <w:r>
              <w:rPr>
                <w:rFonts w:ascii="仿宋" w:eastAsia="仿宋" w:hAnsi="仿宋" w:hint="eastAsia"/>
                <w:sz w:val="24"/>
                <w:szCs w:val="24"/>
              </w:rPr>
              <w:t>中文传媒一贯重视市值管理，通过实际行动展现对公司未来长期发展的信心。截至目前，公司已通过集中竞价方式累计回购股份360.10万股，支付对</w:t>
            </w:r>
            <w:proofErr w:type="gramStart"/>
            <w:r>
              <w:rPr>
                <w:rFonts w:ascii="仿宋" w:eastAsia="仿宋" w:hAnsi="仿宋" w:hint="eastAsia"/>
                <w:sz w:val="24"/>
                <w:szCs w:val="24"/>
              </w:rPr>
              <w:t>价金额</w:t>
            </w:r>
            <w:proofErr w:type="gramEnd"/>
            <w:r>
              <w:rPr>
                <w:rFonts w:ascii="仿宋" w:eastAsia="仿宋" w:hAnsi="仿宋" w:hint="eastAsia"/>
                <w:sz w:val="24"/>
                <w:szCs w:val="24"/>
              </w:rPr>
              <w:t>约5000.87万元；实施完成2023年度现</w:t>
            </w:r>
            <w:r>
              <w:rPr>
                <w:rFonts w:ascii="仿宋" w:eastAsia="仿宋" w:hAnsi="仿宋" w:hint="eastAsia"/>
                <w:sz w:val="24"/>
                <w:szCs w:val="24"/>
              </w:rPr>
              <w:lastRenderedPageBreak/>
              <w:t>金分红10.55亿元，占当年</w:t>
            </w:r>
            <w:proofErr w:type="gramStart"/>
            <w:r>
              <w:rPr>
                <w:rFonts w:ascii="仿宋" w:eastAsia="仿宋" w:hAnsi="仿宋" w:hint="eastAsia"/>
                <w:sz w:val="24"/>
                <w:szCs w:val="24"/>
              </w:rPr>
              <w:t>归母净利润</w:t>
            </w:r>
            <w:proofErr w:type="gramEnd"/>
            <w:r>
              <w:rPr>
                <w:rFonts w:ascii="仿宋" w:eastAsia="仿宋" w:hAnsi="仿宋" w:hint="eastAsia"/>
                <w:sz w:val="24"/>
                <w:szCs w:val="24"/>
              </w:rPr>
              <w:t>的53.66%。未来，公司将本着对全体股东、对公司认真负责的态度，在符合相关法律法规和公司财务状况的前提下，审慎考虑各种资本运作方式。相关决策信息公司将严格依照法律法规的要求及时履行信息披露义务。</w:t>
            </w:r>
          </w:p>
          <w:p w:rsidR="006D06CF" w:rsidRDefault="006D06CF">
            <w:pPr>
              <w:widowControl/>
              <w:ind w:firstLineChars="200" w:firstLine="480"/>
              <w:jc w:val="left"/>
              <w:rPr>
                <w:rFonts w:ascii="仿宋" w:eastAsia="仿宋" w:hAnsi="仿宋" w:hint="eastAsia"/>
                <w:sz w:val="24"/>
                <w:szCs w:val="24"/>
              </w:rPr>
            </w:pPr>
          </w:p>
          <w:p w:rsidR="006D06CF" w:rsidRDefault="00000000">
            <w:pPr>
              <w:widowControl/>
              <w:jc w:val="left"/>
              <w:rPr>
                <w:rFonts w:ascii="仿宋" w:eastAsia="仿宋" w:hAnsi="仿宋" w:hint="eastAsia"/>
                <w:b/>
                <w:bCs/>
                <w:sz w:val="24"/>
                <w:szCs w:val="24"/>
              </w:rPr>
            </w:pPr>
            <w:r>
              <w:rPr>
                <w:rFonts w:ascii="仿宋" w:eastAsia="仿宋" w:hAnsi="仿宋" w:hint="eastAsia"/>
                <w:b/>
                <w:bCs/>
                <w:sz w:val="24"/>
                <w:szCs w:val="24"/>
              </w:rPr>
              <w:t>5</w:t>
            </w:r>
            <w:r>
              <w:rPr>
                <w:rFonts w:ascii="仿宋" w:eastAsia="仿宋" w:hAnsi="仿宋"/>
                <w:b/>
                <w:bCs/>
                <w:sz w:val="24"/>
                <w:szCs w:val="24"/>
              </w:rPr>
              <w:t>.</w:t>
            </w:r>
            <w:r>
              <w:rPr>
                <w:rFonts w:ascii="仿宋" w:eastAsia="仿宋" w:hAnsi="仿宋" w:hint="eastAsia"/>
                <w:b/>
                <w:bCs/>
                <w:sz w:val="24"/>
                <w:szCs w:val="24"/>
              </w:rPr>
              <w:t>智明星</w:t>
            </w:r>
            <w:proofErr w:type="gramStart"/>
            <w:r>
              <w:rPr>
                <w:rFonts w:ascii="仿宋" w:eastAsia="仿宋" w:hAnsi="仿宋" w:hint="eastAsia"/>
                <w:b/>
                <w:bCs/>
                <w:sz w:val="24"/>
                <w:szCs w:val="24"/>
              </w:rPr>
              <w:t>通除了</w:t>
            </w:r>
            <w:proofErr w:type="gramEnd"/>
            <w:r>
              <w:rPr>
                <w:rFonts w:ascii="仿宋" w:eastAsia="仿宋" w:hAnsi="仿宋" w:hint="eastAsia"/>
                <w:b/>
                <w:bCs/>
                <w:sz w:val="24"/>
                <w:szCs w:val="24"/>
              </w:rPr>
              <w:t xml:space="preserve">代理恋与恋人之外，还有哪些产品在代理发行？ </w:t>
            </w:r>
          </w:p>
          <w:p w:rsidR="006D06CF" w:rsidRDefault="00000000">
            <w:pPr>
              <w:ind w:firstLineChars="200" w:firstLine="480"/>
              <w:rPr>
                <w:rFonts w:ascii="仿宋" w:eastAsia="仿宋" w:hAnsi="仿宋" w:hint="eastAsia"/>
                <w:sz w:val="24"/>
                <w:szCs w:val="24"/>
              </w:rPr>
            </w:pPr>
            <w:r>
              <w:rPr>
                <w:rFonts w:ascii="仿宋" w:eastAsia="仿宋" w:hAnsi="仿宋" w:hint="eastAsia"/>
                <w:sz w:val="24"/>
                <w:szCs w:val="24"/>
              </w:rPr>
              <w:t>智明星通主要的代理产品有：《Magic Rush》《奇迹暖暖》《恋与制作人》《食之契约》等，新代理二次元游戏《Cat Fantasy猫之城》已于今年8月上线，首日便拿下了包括美国、加拿大等5个国家Google Play免费榜第一的成绩，共进入了10个国家或地区的免费榜Top 10行列。公司其他储备代理产品均在优化调整期，将按节奏择期上线。</w:t>
            </w:r>
          </w:p>
          <w:p w:rsidR="006D06CF" w:rsidRDefault="006D06CF">
            <w:pPr>
              <w:pStyle w:val="30"/>
              <w:rPr>
                <w:rFonts w:ascii="仿宋" w:eastAsia="仿宋" w:hAnsi="仿宋" w:cs="Times New Roman" w:hint="eastAsia"/>
              </w:rPr>
            </w:pPr>
          </w:p>
          <w:p w:rsidR="006D06CF" w:rsidRDefault="00000000">
            <w:pPr>
              <w:pStyle w:val="30"/>
              <w:rPr>
                <w:rFonts w:ascii="仿宋" w:eastAsia="仿宋" w:hAnsi="仿宋" w:cs="Times New Roman" w:hint="eastAsia"/>
              </w:rPr>
            </w:pPr>
            <w:r>
              <w:rPr>
                <w:rFonts w:ascii="仿宋" w:eastAsia="仿宋" w:hAnsi="仿宋" w:cs="Times New Roman" w:hint="eastAsia"/>
              </w:rPr>
              <w:t>6</w:t>
            </w:r>
            <w:r>
              <w:rPr>
                <w:rFonts w:ascii="仿宋" w:eastAsia="仿宋" w:hAnsi="仿宋" w:cs="Times New Roman"/>
              </w:rPr>
              <w:t>.</w:t>
            </w:r>
            <w:r>
              <w:rPr>
                <w:rFonts w:ascii="仿宋" w:eastAsia="仿宋" w:hAnsi="仿宋" w:cs="Times New Roman" w:hint="eastAsia"/>
              </w:rPr>
              <w:t>请问今年中文传媒收购</w:t>
            </w:r>
            <w:proofErr w:type="gramStart"/>
            <w:r>
              <w:rPr>
                <w:rFonts w:ascii="仿宋" w:eastAsia="仿宋" w:hAnsi="仿宋" w:cs="Times New Roman" w:hint="eastAsia"/>
              </w:rPr>
              <w:t>的朗知传媒</w:t>
            </w:r>
            <w:proofErr w:type="gramEnd"/>
            <w:r>
              <w:rPr>
                <w:rFonts w:ascii="仿宋" w:eastAsia="仿宋" w:hAnsi="仿宋" w:cs="Times New Roman" w:hint="eastAsia"/>
              </w:rPr>
              <w:t>都有哪些亮眼的业绩呈现？</w:t>
            </w:r>
          </w:p>
          <w:p w:rsidR="006D06CF" w:rsidRDefault="00000000">
            <w:pPr>
              <w:adjustRightInd w:val="0"/>
              <w:snapToGrid w:val="0"/>
              <w:ind w:firstLineChars="200" w:firstLine="480"/>
              <w:rPr>
                <w:rFonts w:ascii="仿宋" w:eastAsia="仿宋" w:hAnsi="仿宋" w:hint="eastAsia"/>
                <w:sz w:val="24"/>
                <w:szCs w:val="24"/>
              </w:rPr>
            </w:pPr>
            <w:r>
              <w:rPr>
                <w:rFonts w:ascii="仿宋" w:eastAsia="仿宋" w:hAnsi="仿宋" w:hint="eastAsia"/>
                <w:sz w:val="24"/>
                <w:szCs w:val="24"/>
              </w:rPr>
              <w:t>中文传媒坚持出版主业为战略核心和品牌核心，充分发掘优质资源，推动公司由传统出版向新兴出版转型，不断丰富拓展版权价值实现方式，着力打造可持续发展能力和核心竞争力，实现内容和管理的数字化，数字内容的产业化。</w:t>
            </w:r>
            <w:proofErr w:type="gramStart"/>
            <w:r>
              <w:rPr>
                <w:rFonts w:ascii="仿宋" w:eastAsia="仿宋" w:hAnsi="仿宋" w:hint="eastAsia"/>
                <w:sz w:val="24"/>
                <w:szCs w:val="24"/>
              </w:rPr>
              <w:t>并购朗知传媒</w:t>
            </w:r>
            <w:proofErr w:type="gramEnd"/>
            <w:r>
              <w:rPr>
                <w:rFonts w:ascii="仿宋" w:eastAsia="仿宋" w:hAnsi="仿宋" w:hint="eastAsia"/>
                <w:sz w:val="24"/>
                <w:szCs w:val="24"/>
              </w:rPr>
              <w:t>，将充分利用其在AIGC领域的优势，通过文稿校对、文生图、文生视频等方式，将人工智能技术和出版业务有效衔接，不断强化编校环节质量、插图绘制效率以及营销推广能力，与公司主营业务产生积极的协同效应。前三季度，</w:t>
            </w:r>
            <w:proofErr w:type="gramStart"/>
            <w:r>
              <w:rPr>
                <w:rFonts w:ascii="仿宋" w:eastAsia="仿宋" w:hAnsi="仿宋" w:hint="eastAsia"/>
                <w:sz w:val="24"/>
                <w:szCs w:val="24"/>
              </w:rPr>
              <w:t>朗知传媒</w:t>
            </w:r>
            <w:proofErr w:type="gramEnd"/>
            <w:r>
              <w:rPr>
                <w:rFonts w:ascii="仿宋" w:eastAsia="仿宋" w:hAnsi="仿宋" w:hint="eastAsia"/>
                <w:sz w:val="24"/>
                <w:szCs w:val="24"/>
              </w:rPr>
              <w:t>实现营收超9亿元，实现</w:t>
            </w:r>
            <w:proofErr w:type="gramStart"/>
            <w:r>
              <w:rPr>
                <w:rFonts w:ascii="仿宋" w:eastAsia="仿宋" w:hAnsi="仿宋" w:hint="eastAsia"/>
                <w:sz w:val="24"/>
                <w:szCs w:val="24"/>
              </w:rPr>
              <w:t>归母净利润</w:t>
            </w:r>
            <w:proofErr w:type="gramEnd"/>
            <w:r>
              <w:rPr>
                <w:rFonts w:ascii="仿宋" w:eastAsia="仿宋" w:hAnsi="仿宋" w:hint="eastAsia"/>
                <w:sz w:val="24"/>
                <w:szCs w:val="24"/>
              </w:rPr>
              <w:t>4000万元。</w:t>
            </w:r>
          </w:p>
          <w:p w:rsidR="006D06CF" w:rsidRDefault="006D06CF">
            <w:pPr>
              <w:adjustRightInd w:val="0"/>
              <w:snapToGrid w:val="0"/>
              <w:ind w:firstLineChars="200" w:firstLine="480"/>
              <w:rPr>
                <w:rFonts w:ascii="仿宋" w:eastAsia="仿宋" w:hAnsi="仿宋" w:hint="eastAsia"/>
                <w:sz w:val="24"/>
                <w:szCs w:val="24"/>
              </w:rPr>
            </w:pPr>
          </w:p>
          <w:p w:rsidR="006D06CF" w:rsidRDefault="00000000">
            <w:pPr>
              <w:adjustRightInd w:val="0"/>
              <w:snapToGrid w:val="0"/>
              <w:rPr>
                <w:rFonts w:ascii="仿宋" w:eastAsia="仿宋" w:hAnsi="仿宋" w:hint="eastAsia"/>
                <w:b/>
                <w:bCs/>
                <w:sz w:val="24"/>
                <w:szCs w:val="24"/>
              </w:rPr>
            </w:pPr>
            <w:r>
              <w:rPr>
                <w:rFonts w:ascii="仿宋" w:eastAsia="仿宋" w:hAnsi="仿宋" w:hint="eastAsia"/>
                <w:b/>
                <w:bCs/>
                <w:sz w:val="24"/>
                <w:szCs w:val="24"/>
              </w:rPr>
              <w:t>7</w:t>
            </w:r>
            <w:r>
              <w:rPr>
                <w:rFonts w:ascii="仿宋" w:eastAsia="仿宋" w:hAnsi="仿宋"/>
                <w:b/>
                <w:bCs/>
                <w:sz w:val="24"/>
                <w:szCs w:val="24"/>
              </w:rPr>
              <w:t>.</w:t>
            </w:r>
            <w:r>
              <w:rPr>
                <w:rFonts w:ascii="仿宋" w:eastAsia="仿宋" w:hAnsi="仿宋" w:hint="eastAsia"/>
                <w:b/>
                <w:bCs/>
                <w:sz w:val="24"/>
                <w:szCs w:val="24"/>
              </w:rPr>
              <w:t xml:space="preserve">中文传媒刚完成的收购大股东相关资产，并表的时点是什么时候？ </w:t>
            </w:r>
          </w:p>
          <w:p w:rsidR="006D06CF" w:rsidRDefault="00000000">
            <w:pPr>
              <w:widowControl/>
              <w:ind w:firstLineChars="200" w:firstLine="480"/>
              <w:jc w:val="left"/>
              <w:rPr>
                <w:rFonts w:ascii="仿宋" w:eastAsia="仿宋" w:hAnsi="仿宋" w:hint="eastAsia"/>
                <w:sz w:val="24"/>
                <w:szCs w:val="24"/>
              </w:rPr>
            </w:pPr>
            <w:r>
              <w:rPr>
                <w:rFonts w:ascii="仿宋" w:eastAsia="仿宋" w:hAnsi="仿宋" w:hint="eastAsia"/>
                <w:sz w:val="24"/>
                <w:szCs w:val="24"/>
              </w:rPr>
              <w:t>公司于今年10月办理完成标的资产交割过户手续，已合法取得标的资产，</w:t>
            </w:r>
            <w:proofErr w:type="gramStart"/>
            <w:r>
              <w:rPr>
                <w:rFonts w:ascii="仿宋" w:eastAsia="仿宋" w:hAnsi="仿宋" w:hint="eastAsia"/>
                <w:sz w:val="24"/>
                <w:szCs w:val="24"/>
              </w:rPr>
              <w:t>江教传媒</w:t>
            </w:r>
            <w:proofErr w:type="gramEnd"/>
            <w:r>
              <w:rPr>
                <w:rFonts w:ascii="仿宋" w:eastAsia="仿宋" w:hAnsi="仿宋" w:hint="eastAsia"/>
                <w:sz w:val="24"/>
                <w:szCs w:val="24"/>
              </w:rPr>
              <w:t>和高校出版社成为公司全资子公司，实现合并财务报表。</w:t>
            </w:r>
          </w:p>
          <w:p w:rsidR="006D06CF" w:rsidRDefault="006D06CF">
            <w:pPr>
              <w:widowControl/>
              <w:ind w:firstLineChars="200" w:firstLine="480"/>
              <w:jc w:val="left"/>
              <w:rPr>
                <w:rFonts w:ascii="仿宋" w:eastAsia="仿宋" w:hAnsi="仿宋" w:cs="仿宋_GB2312" w:hint="eastAsia"/>
                <w:kern w:val="0"/>
                <w:sz w:val="24"/>
                <w:szCs w:val="24"/>
              </w:rPr>
            </w:pPr>
          </w:p>
          <w:p w:rsidR="006D06CF" w:rsidRDefault="00000000">
            <w:pPr>
              <w:widowControl/>
              <w:jc w:val="left"/>
              <w:rPr>
                <w:rFonts w:ascii="仿宋" w:eastAsia="仿宋" w:hAnsi="仿宋" w:hint="eastAsia"/>
                <w:b/>
                <w:bCs/>
                <w:sz w:val="24"/>
                <w:szCs w:val="24"/>
              </w:rPr>
            </w:pPr>
            <w:r>
              <w:rPr>
                <w:rFonts w:ascii="仿宋" w:eastAsia="仿宋" w:hAnsi="仿宋" w:hint="eastAsia"/>
                <w:b/>
                <w:bCs/>
                <w:sz w:val="24"/>
                <w:szCs w:val="24"/>
              </w:rPr>
              <w:t>8</w:t>
            </w:r>
            <w:r>
              <w:rPr>
                <w:rFonts w:ascii="仿宋" w:eastAsia="仿宋" w:hAnsi="仿宋"/>
                <w:b/>
                <w:bCs/>
                <w:sz w:val="24"/>
                <w:szCs w:val="24"/>
              </w:rPr>
              <w:t>.</w:t>
            </w:r>
            <w:r>
              <w:rPr>
                <w:rFonts w:ascii="仿宋" w:eastAsia="仿宋" w:hAnsi="仿宋" w:hint="eastAsia"/>
                <w:b/>
                <w:bCs/>
                <w:sz w:val="24"/>
                <w:szCs w:val="24"/>
              </w:rPr>
              <w:t>截至三季报，公司账上现金充沛，为什么还要借款？</w:t>
            </w:r>
          </w:p>
          <w:p w:rsidR="006D06CF" w:rsidRDefault="00000000">
            <w:pPr>
              <w:widowControl/>
              <w:ind w:firstLineChars="200" w:firstLine="480"/>
              <w:jc w:val="left"/>
              <w:rPr>
                <w:rFonts w:ascii="仿宋" w:eastAsia="仿宋" w:hAnsi="仿宋" w:hint="eastAsia"/>
                <w:sz w:val="24"/>
                <w:szCs w:val="24"/>
              </w:rPr>
            </w:pPr>
            <w:r>
              <w:rPr>
                <w:rFonts w:ascii="仿宋" w:eastAsia="仿宋" w:hAnsi="仿宋" w:hint="eastAsia"/>
                <w:sz w:val="24"/>
                <w:szCs w:val="24"/>
              </w:rPr>
              <w:t>您好，公司根据生产经营需要及融资环境，对资金进行合理统筹、规划安排。公司持续对外融资是为了不断加强信用体系建设，不断拓展融资渠道，提高长期融资能力，凭借良好的信用体系，能够获得一定优惠利率的融资，有效增加公司盈利能力，谢谢。</w:t>
            </w:r>
          </w:p>
          <w:p w:rsidR="006D06CF" w:rsidRDefault="006D06CF">
            <w:pPr>
              <w:widowControl/>
              <w:ind w:firstLineChars="200" w:firstLine="480"/>
              <w:jc w:val="left"/>
              <w:rPr>
                <w:rFonts w:ascii="仿宋" w:eastAsia="仿宋" w:hAnsi="仿宋" w:hint="eastAsia"/>
                <w:sz w:val="24"/>
                <w:szCs w:val="24"/>
              </w:rPr>
            </w:pPr>
          </w:p>
          <w:p w:rsidR="006D06CF" w:rsidRPr="007161FD" w:rsidRDefault="00000000">
            <w:pPr>
              <w:rPr>
                <w:rFonts w:ascii="仿宋" w:eastAsia="仿宋" w:hAnsi="仿宋" w:hint="eastAsia"/>
                <w:b/>
                <w:bCs/>
                <w:sz w:val="24"/>
                <w:szCs w:val="24"/>
              </w:rPr>
            </w:pPr>
            <w:r w:rsidRPr="007161FD">
              <w:rPr>
                <w:rFonts w:ascii="仿宋" w:eastAsia="仿宋" w:hAnsi="仿宋" w:hint="eastAsia"/>
                <w:b/>
                <w:bCs/>
                <w:sz w:val="24"/>
                <w:szCs w:val="24"/>
              </w:rPr>
              <w:t>9.未来并购方向及规划？</w:t>
            </w:r>
          </w:p>
          <w:p w:rsidR="006D06CF" w:rsidRPr="007161FD" w:rsidRDefault="00000000" w:rsidP="007161FD">
            <w:pPr>
              <w:ind w:firstLineChars="200" w:firstLine="480"/>
              <w:rPr>
                <w:rFonts w:ascii="仿宋" w:eastAsia="仿宋" w:hAnsi="仿宋" w:hint="eastAsia"/>
                <w:sz w:val="24"/>
                <w:szCs w:val="24"/>
              </w:rPr>
            </w:pPr>
            <w:r w:rsidRPr="007161FD">
              <w:rPr>
                <w:rFonts w:ascii="仿宋" w:eastAsia="仿宋" w:hAnsi="仿宋" w:hint="eastAsia"/>
                <w:sz w:val="24"/>
                <w:szCs w:val="24"/>
              </w:rPr>
              <w:t>公司战略并购以赋能传统产业转型升级（数字化建设和</w:t>
            </w:r>
            <w:r w:rsidRPr="007161FD">
              <w:rPr>
                <w:rFonts w:ascii="仿宋" w:eastAsia="仿宋" w:hAnsi="仿宋"/>
                <w:sz w:val="24"/>
                <w:szCs w:val="24"/>
              </w:rPr>
              <w:t>AI</w:t>
            </w:r>
            <w:r w:rsidRPr="007161FD">
              <w:rPr>
                <w:rFonts w:ascii="仿宋" w:eastAsia="仿宋" w:hAnsi="仿宋" w:hint="eastAsia"/>
                <w:sz w:val="24"/>
                <w:szCs w:val="24"/>
              </w:rPr>
              <w:t>）、服务教育方向为主。第一个重点是在内容编辑、文稿校对方面，如何通过技术进行降本增效。第二个重点是通过技术迭代，有效打通图书销售渠道，更好服务读者。并购模式方面，会采取基金前端孵化以及直接并购优质成熟企业的方式。</w:t>
            </w:r>
          </w:p>
          <w:p w:rsidR="006D06CF" w:rsidRDefault="006D06CF">
            <w:pPr>
              <w:widowControl/>
              <w:ind w:firstLineChars="200" w:firstLine="480"/>
              <w:jc w:val="left"/>
              <w:rPr>
                <w:rFonts w:ascii="仿宋" w:eastAsia="仿宋" w:hAnsi="仿宋" w:hint="eastAsia"/>
                <w:sz w:val="24"/>
                <w:szCs w:val="24"/>
              </w:rPr>
            </w:pPr>
          </w:p>
          <w:p w:rsidR="006D06CF" w:rsidRDefault="00000000">
            <w:pPr>
              <w:widowControl/>
              <w:jc w:val="left"/>
              <w:rPr>
                <w:rFonts w:ascii="仿宋" w:eastAsia="仿宋" w:hAnsi="仿宋" w:hint="eastAsia"/>
                <w:b/>
                <w:bCs/>
                <w:sz w:val="24"/>
                <w:szCs w:val="24"/>
              </w:rPr>
            </w:pPr>
            <w:r>
              <w:rPr>
                <w:rFonts w:ascii="仿宋" w:eastAsia="仿宋" w:hAnsi="仿宋" w:hint="eastAsia"/>
                <w:b/>
                <w:bCs/>
                <w:sz w:val="24"/>
                <w:szCs w:val="24"/>
              </w:rPr>
              <w:t>10.中文传媒Q3业绩下滑，对年度的分红有没有影响？分红政策会不会发生变化？</w:t>
            </w:r>
          </w:p>
          <w:p w:rsidR="006D06CF" w:rsidRDefault="00000000">
            <w:pPr>
              <w:ind w:firstLineChars="200" w:firstLine="480"/>
              <w:rPr>
                <w:rFonts w:ascii="仿宋" w:eastAsia="仿宋" w:hAnsi="仿宋" w:cs="仿宋_GB2312" w:hint="eastAsia"/>
                <w:kern w:val="0"/>
                <w:sz w:val="24"/>
                <w:szCs w:val="24"/>
              </w:rPr>
            </w:pPr>
            <w:r>
              <w:rPr>
                <w:rFonts w:ascii="仿宋" w:eastAsia="仿宋" w:hAnsi="仿宋" w:hint="eastAsia"/>
                <w:sz w:val="24"/>
                <w:szCs w:val="24"/>
              </w:rPr>
              <w:t>中文传媒一直以来非常重视投资者回报，在保持稳健、可持续经营的基础上，每年通过现金分红，真金白银回报股东，实实在在提升投资</w:t>
            </w:r>
            <w:r>
              <w:rPr>
                <w:rFonts w:ascii="仿宋" w:eastAsia="仿宋" w:hAnsi="仿宋" w:hint="eastAsia"/>
                <w:sz w:val="24"/>
                <w:szCs w:val="24"/>
              </w:rPr>
              <w:lastRenderedPageBreak/>
              <w:t>者获得感，近五年现金分红总体呈稳步上升趋势，股息</w:t>
            </w:r>
            <w:proofErr w:type="gramStart"/>
            <w:r>
              <w:rPr>
                <w:rFonts w:ascii="仿宋" w:eastAsia="仿宋" w:hAnsi="仿宋" w:hint="eastAsia"/>
                <w:sz w:val="24"/>
                <w:szCs w:val="24"/>
              </w:rPr>
              <w:t>率表现</w:t>
            </w:r>
            <w:proofErr w:type="gramEnd"/>
            <w:r>
              <w:rPr>
                <w:rFonts w:ascii="仿宋" w:eastAsia="仿宋" w:hAnsi="仿宋" w:hint="eastAsia"/>
                <w:sz w:val="24"/>
                <w:szCs w:val="24"/>
              </w:rPr>
              <w:t>良好。公司自上市以来，共实施现金分红13次，累计派发现金股利70.85亿元（</w:t>
            </w:r>
            <w:proofErr w:type="gramStart"/>
            <w:r>
              <w:rPr>
                <w:rFonts w:ascii="仿宋" w:eastAsia="仿宋" w:hAnsi="仿宋" w:hint="eastAsia"/>
                <w:sz w:val="24"/>
                <w:szCs w:val="24"/>
              </w:rPr>
              <w:t>含回购股</w:t>
            </w:r>
            <w:proofErr w:type="gramEnd"/>
            <w:r>
              <w:rPr>
                <w:rFonts w:ascii="仿宋" w:eastAsia="仿宋" w:hAnsi="仿宋" w:hint="eastAsia"/>
                <w:sz w:val="24"/>
                <w:szCs w:val="24"/>
              </w:rPr>
              <w:t>份3亿元）。未来，公司将积极响应新“国九条”的号召，努力</w:t>
            </w:r>
            <w:proofErr w:type="gramStart"/>
            <w:r>
              <w:rPr>
                <w:rFonts w:ascii="仿宋" w:eastAsia="仿宋" w:hAnsi="仿宋" w:hint="eastAsia"/>
                <w:sz w:val="24"/>
                <w:szCs w:val="24"/>
              </w:rPr>
              <w:t>践行</w:t>
            </w:r>
            <w:proofErr w:type="gramEnd"/>
            <w:r>
              <w:rPr>
                <w:rFonts w:ascii="仿宋" w:eastAsia="仿宋" w:hAnsi="仿宋" w:hint="eastAsia"/>
                <w:sz w:val="24"/>
                <w:szCs w:val="24"/>
              </w:rPr>
              <w:t>“以投资者为本”的理念，通过不断的业务创新和市场拓展，增强公司的竞争力，同时，继续保持审慎的财务管理，优化资本结构，综合考虑公司发展阶段、盈利水平和资本需求，兼顾包括中小股东在内的股东整体利益等因素，积极维护利润分配政策的持续性和稳定性。</w:t>
            </w:r>
          </w:p>
        </w:tc>
      </w:tr>
      <w:tr w:rsidR="006D06CF">
        <w:trPr>
          <w:trHeight w:val="285"/>
        </w:trPr>
        <w:tc>
          <w:tcPr>
            <w:tcW w:w="1702" w:type="dxa"/>
            <w:vAlign w:val="center"/>
          </w:tcPr>
          <w:p w:rsidR="006D06CF" w:rsidRDefault="00000000">
            <w:pPr>
              <w:spacing w:line="480" w:lineRule="atLeast"/>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lastRenderedPageBreak/>
              <w:t>附件清单</w:t>
            </w:r>
          </w:p>
          <w:p w:rsidR="006D06CF" w:rsidRDefault="00000000">
            <w:pPr>
              <w:spacing w:line="480" w:lineRule="atLeast"/>
              <w:jc w:val="center"/>
              <w:rPr>
                <w:rFonts w:ascii="仿宋" w:eastAsia="仿宋" w:hAnsi="仿宋" w:cs="Times" w:hint="eastAsia"/>
                <w:color w:val="000000"/>
                <w:kern w:val="0"/>
                <w:sz w:val="24"/>
                <w:szCs w:val="24"/>
              </w:rPr>
            </w:pPr>
            <w:r>
              <w:rPr>
                <w:rFonts w:ascii="仿宋" w:eastAsia="仿宋" w:hAnsi="仿宋" w:cs="宋体" w:hint="eastAsia"/>
                <w:color w:val="000000"/>
                <w:kern w:val="0"/>
                <w:sz w:val="24"/>
                <w:szCs w:val="24"/>
              </w:rPr>
              <w:t>（如有）</w:t>
            </w:r>
          </w:p>
        </w:tc>
        <w:tc>
          <w:tcPr>
            <w:tcW w:w="7512" w:type="dxa"/>
          </w:tcPr>
          <w:p w:rsidR="006D06CF" w:rsidRDefault="006D06CF">
            <w:pPr>
              <w:spacing w:line="480" w:lineRule="atLeast"/>
              <w:rPr>
                <w:rFonts w:ascii="仿宋" w:eastAsia="仿宋" w:hAnsi="仿宋" w:cs="Times" w:hint="eastAsia"/>
                <w:color w:val="000000"/>
                <w:kern w:val="0"/>
                <w:sz w:val="24"/>
                <w:szCs w:val="24"/>
              </w:rPr>
            </w:pPr>
          </w:p>
        </w:tc>
      </w:tr>
      <w:tr w:rsidR="006D06CF">
        <w:trPr>
          <w:trHeight w:val="579"/>
        </w:trPr>
        <w:tc>
          <w:tcPr>
            <w:tcW w:w="1702" w:type="dxa"/>
            <w:vAlign w:val="center"/>
          </w:tcPr>
          <w:p w:rsidR="006D06CF" w:rsidRDefault="00000000">
            <w:pPr>
              <w:jc w:val="center"/>
              <w:rPr>
                <w:rFonts w:ascii="仿宋" w:eastAsia="仿宋" w:hAnsi="仿宋" w:cs="Times" w:hint="eastAsia"/>
                <w:color w:val="000000"/>
                <w:kern w:val="0"/>
                <w:sz w:val="24"/>
                <w:szCs w:val="24"/>
              </w:rPr>
            </w:pPr>
            <w:r>
              <w:rPr>
                <w:rFonts w:ascii="仿宋" w:eastAsia="仿宋" w:hAnsi="仿宋" w:cs="宋体" w:hint="eastAsia"/>
                <w:color w:val="000000"/>
                <w:kern w:val="0"/>
                <w:sz w:val="24"/>
                <w:szCs w:val="24"/>
              </w:rPr>
              <w:t>记录人</w:t>
            </w:r>
          </w:p>
        </w:tc>
        <w:tc>
          <w:tcPr>
            <w:tcW w:w="7512" w:type="dxa"/>
            <w:vAlign w:val="center"/>
          </w:tcPr>
          <w:p w:rsidR="006D06CF" w:rsidRDefault="00000000">
            <w:pPr>
              <w:rPr>
                <w:rFonts w:ascii="仿宋" w:eastAsia="仿宋" w:hAnsi="仿宋" w:hint="eastAsia"/>
                <w:kern w:val="0"/>
                <w:sz w:val="24"/>
                <w:szCs w:val="24"/>
              </w:rPr>
            </w:pPr>
            <w:r>
              <w:rPr>
                <w:rFonts w:ascii="仿宋" w:eastAsia="仿宋" w:hAnsi="仿宋" w:cs="仿宋_GB2312" w:hint="eastAsia"/>
                <w:kern w:val="0"/>
                <w:sz w:val="24"/>
                <w:szCs w:val="24"/>
              </w:rPr>
              <w:t>王雅丹</w:t>
            </w:r>
          </w:p>
        </w:tc>
      </w:tr>
      <w:tr w:rsidR="006D06CF">
        <w:trPr>
          <w:trHeight w:val="657"/>
        </w:trPr>
        <w:tc>
          <w:tcPr>
            <w:tcW w:w="1702" w:type="dxa"/>
            <w:vAlign w:val="center"/>
          </w:tcPr>
          <w:p w:rsidR="006D06CF" w:rsidRDefault="00000000">
            <w:pPr>
              <w:jc w:val="center"/>
              <w:rPr>
                <w:rFonts w:ascii="仿宋" w:eastAsia="仿宋" w:hAnsi="仿宋" w:cs="Times" w:hint="eastAsia"/>
                <w:color w:val="000000"/>
                <w:kern w:val="0"/>
                <w:sz w:val="24"/>
                <w:szCs w:val="24"/>
              </w:rPr>
            </w:pPr>
            <w:r>
              <w:rPr>
                <w:rFonts w:ascii="仿宋" w:eastAsia="仿宋" w:hAnsi="仿宋" w:cs="宋体" w:hint="eastAsia"/>
                <w:color w:val="000000"/>
                <w:kern w:val="0"/>
                <w:sz w:val="24"/>
                <w:szCs w:val="24"/>
              </w:rPr>
              <w:t>日期</w:t>
            </w:r>
          </w:p>
        </w:tc>
        <w:tc>
          <w:tcPr>
            <w:tcW w:w="7512" w:type="dxa"/>
            <w:vAlign w:val="center"/>
          </w:tcPr>
          <w:p w:rsidR="006D06CF" w:rsidRDefault="00000000">
            <w:pPr>
              <w:rPr>
                <w:rFonts w:ascii="仿宋" w:eastAsia="仿宋" w:hAnsi="仿宋" w:hint="eastAsia"/>
                <w:kern w:val="0"/>
                <w:sz w:val="24"/>
                <w:szCs w:val="24"/>
              </w:rPr>
            </w:pPr>
            <w:r>
              <w:rPr>
                <w:rFonts w:ascii="仿宋" w:eastAsia="仿宋" w:hAnsi="仿宋" w:cs="仿宋_GB2312"/>
                <w:kern w:val="0"/>
                <w:sz w:val="24"/>
                <w:szCs w:val="24"/>
              </w:rPr>
              <w:t>202</w:t>
            </w:r>
            <w:r>
              <w:rPr>
                <w:rFonts w:ascii="仿宋" w:eastAsia="仿宋" w:hAnsi="仿宋" w:cs="仿宋_GB2312" w:hint="eastAsia"/>
                <w:kern w:val="0"/>
                <w:sz w:val="24"/>
                <w:szCs w:val="24"/>
              </w:rPr>
              <w:t>4年11月1日</w:t>
            </w:r>
          </w:p>
        </w:tc>
      </w:tr>
    </w:tbl>
    <w:p w:rsidR="006D06CF" w:rsidRDefault="006D06CF">
      <w:pPr>
        <w:rPr>
          <w:rFonts w:ascii="仿宋" w:eastAsia="仿宋" w:hAnsi="仿宋" w:cs="Times" w:hint="eastAsia"/>
          <w:sz w:val="24"/>
          <w:szCs w:val="24"/>
        </w:rPr>
      </w:pPr>
    </w:p>
    <w:sectPr w:rsidR="006D06C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6C2B" w:rsidRDefault="00EF6C2B">
      <w:r>
        <w:separator/>
      </w:r>
    </w:p>
  </w:endnote>
  <w:endnote w:type="continuationSeparator" w:id="0">
    <w:p w:rsidR="00EF6C2B" w:rsidRDefault="00EF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准圆_GBK_平安专用">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06CF" w:rsidRDefault="00000000">
    <w:pPr>
      <w:pStyle w:val="a7"/>
      <w:jc w:val="center"/>
    </w:pPr>
    <w:r>
      <w:rPr>
        <w:lang w:val="zh-CN"/>
      </w:rPr>
      <w:t xml:space="preserve"> </w:t>
    </w:r>
    <w:r>
      <w:rPr>
        <w:b/>
        <w:bCs/>
      </w:rPr>
      <w:fldChar w:fldCharType="begin"/>
    </w:r>
    <w:r>
      <w:rPr>
        <w:b/>
        <w:bCs/>
      </w:rPr>
      <w:instrText>PAGE</w:instrText>
    </w:r>
    <w:r>
      <w:rPr>
        <w:b/>
        <w:bCs/>
      </w:rPr>
      <w:fldChar w:fldCharType="separate"/>
    </w:r>
    <w:r>
      <w:rPr>
        <w:b/>
        <w:bCs/>
      </w:rPr>
      <w:t>3</w:t>
    </w:r>
    <w:r>
      <w:rPr>
        <w:b/>
        <w:bCs/>
      </w:rPr>
      <w:fldChar w:fldCharType="end"/>
    </w:r>
    <w:r>
      <w:rPr>
        <w:lang w:val="zh-CN"/>
      </w:rPr>
      <w:t xml:space="preserve"> </w:t>
    </w:r>
    <w:r>
      <w:rPr>
        <w:lang w:val="zh-CN"/>
      </w:rPr>
      <w:t xml:space="preserve">/ </w:t>
    </w:r>
    <w:r>
      <w:rPr>
        <w:b/>
        <w:bCs/>
      </w:rPr>
      <w:fldChar w:fldCharType="begin"/>
    </w:r>
    <w:r>
      <w:rPr>
        <w:b/>
        <w:bCs/>
      </w:rPr>
      <w:instrText>NUMPAGES</w:instrText>
    </w:r>
    <w:r>
      <w:rPr>
        <w:b/>
        <w:bCs/>
      </w:rPr>
      <w:fldChar w:fldCharType="separate"/>
    </w:r>
    <w:r>
      <w:rPr>
        <w:b/>
        <w:bCs/>
      </w:rPr>
      <w:t>4</w:t>
    </w:r>
    <w:r>
      <w:rPr>
        <w:b/>
        <w:bCs/>
      </w:rPr>
      <w:fldChar w:fldCharType="end"/>
    </w:r>
  </w:p>
  <w:p w:rsidR="006D06CF" w:rsidRDefault="006D06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6C2B" w:rsidRDefault="00EF6C2B">
      <w:r>
        <w:separator/>
      </w:r>
    </w:p>
  </w:footnote>
  <w:footnote w:type="continuationSeparator" w:id="0">
    <w:p w:rsidR="00EF6C2B" w:rsidRDefault="00EF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06CF" w:rsidRDefault="006D06CF">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07EC"/>
    <w:multiLevelType w:val="multilevel"/>
    <w:tmpl w:val="077D07EC"/>
    <w:lvl w:ilvl="0">
      <w:start w:val="1"/>
      <w:numFmt w:val="decimal"/>
      <w:pStyle w:val="FAQ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0FA14E31"/>
    <w:multiLevelType w:val="multilevel"/>
    <w:tmpl w:val="0FA14E31"/>
    <w:lvl w:ilvl="0">
      <w:start w:val="1"/>
      <w:numFmt w:val="decimal"/>
      <w:pStyle w:val="1"/>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5C23F02"/>
    <w:multiLevelType w:val="multilevel"/>
    <w:tmpl w:val="55C23F02"/>
    <w:lvl w:ilvl="0">
      <w:start w:val="1"/>
      <w:numFmt w:val="decimal"/>
      <w:pStyle w:val="3"/>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0898081">
    <w:abstractNumId w:val="2"/>
  </w:num>
  <w:num w:numId="2" w16cid:durableId="1932158678">
    <w:abstractNumId w:val="0"/>
  </w:num>
  <w:num w:numId="3" w16cid:durableId="64273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kMjQxYzcxYmI0ZDBlOTc3ZTJkYjQ5YjViMGZmYWQifQ=="/>
  </w:docVars>
  <w:rsids>
    <w:rsidRoot w:val="00EE1C10"/>
    <w:rsid w:val="000062B2"/>
    <w:rsid w:val="00012F58"/>
    <w:rsid w:val="00014FB6"/>
    <w:rsid w:val="0001520F"/>
    <w:rsid w:val="00017E99"/>
    <w:rsid w:val="000209FA"/>
    <w:rsid w:val="00022157"/>
    <w:rsid w:val="000257A6"/>
    <w:rsid w:val="0002703E"/>
    <w:rsid w:val="00033F29"/>
    <w:rsid w:val="00035DA7"/>
    <w:rsid w:val="0005090F"/>
    <w:rsid w:val="000561E0"/>
    <w:rsid w:val="000613DE"/>
    <w:rsid w:val="00064401"/>
    <w:rsid w:val="000657E7"/>
    <w:rsid w:val="00067DEA"/>
    <w:rsid w:val="00075047"/>
    <w:rsid w:val="000A7A50"/>
    <w:rsid w:val="000B0272"/>
    <w:rsid w:val="000B21C9"/>
    <w:rsid w:val="000B3693"/>
    <w:rsid w:val="000B3D0E"/>
    <w:rsid w:val="000B41B6"/>
    <w:rsid w:val="000C42E2"/>
    <w:rsid w:val="000C625A"/>
    <w:rsid w:val="000D169A"/>
    <w:rsid w:val="000D307C"/>
    <w:rsid w:val="000F69DC"/>
    <w:rsid w:val="001017E0"/>
    <w:rsid w:val="00101C48"/>
    <w:rsid w:val="00102659"/>
    <w:rsid w:val="001070BA"/>
    <w:rsid w:val="00115931"/>
    <w:rsid w:val="001275C1"/>
    <w:rsid w:val="00130F3C"/>
    <w:rsid w:val="00132BD9"/>
    <w:rsid w:val="00136F86"/>
    <w:rsid w:val="001374B1"/>
    <w:rsid w:val="001409CD"/>
    <w:rsid w:val="00140B3E"/>
    <w:rsid w:val="00150B23"/>
    <w:rsid w:val="00152982"/>
    <w:rsid w:val="0015535F"/>
    <w:rsid w:val="001662BB"/>
    <w:rsid w:val="00171145"/>
    <w:rsid w:val="001778FC"/>
    <w:rsid w:val="0018503A"/>
    <w:rsid w:val="001864B3"/>
    <w:rsid w:val="001B13AC"/>
    <w:rsid w:val="001B33AC"/>
    <w:rsid w:val="001B72DE"/>
    <w:rsid w:val="001C10A8"/>
    <w:rsid w:val="001C36EA"/>
    <w:rsid w:val="001C5AF6"/>
    <w:rsid w:val="001D2529"/>
    <w:rsid w:val="001D2889"/>
    <w:rsid w:val="001D5075"/>
    <w:rsid w:val="001E2C63"/>
    <w:rsid w:val="001E394E"/>
    <w:rsid w:val="001F07A0"/>
    <w:rsid w:val="001F0E43"/>
    <w:rsid w:val="002004DB"/>
    <w:rsid w:val="00201B22"/>
    <w:rsid w:val="00210939"/>
    <w:rsid w:val="00215F16"/>
    <w:rsid w:val="00217D1A"/>
    <w:rsid w:val="002313EA"/>
    <w:rsid w:val="00252D92"/>
    <w:rsid w:val="00256B70"/>
    <w:rsid w:val="00257CF9"/>
    <w:rsid w:val="00260F50"/>
    <w:rsid w:val="00262017"/>
    <w:rsid w:val="00275ADC"/>
    <w:rsid w:val="0029788E"/>
    <w:rsid w:val="002C472A"/>
    <w:rsid w:val="002C6055"/>
    <w:rsid w:val="002D4765"/>
    <w:rsid w:val="002F39AE"/>
    <w:rsid w:val="00300115"/>
    <w:rsid w:val="00302EDE"/>
    <w:rsid w:val="00321913"/>
    <w:rsid w:val="003252D7"/>
    <w:rsid w:val="003317E5"/>
    <w:rsid w:val="00347451"/>
    <w:rsid w:val="00350649"/>
    <w:rsid w:val="00374E14"/>
    <w:rsid w:val="003A16CA"/>
    <w:rsid w:val="003B107D"/>
    <w:rsid w:val="003B721F"/>
    <w:rsid w:val="003C0A61"/>
    <w:rsid w:val="003E5DBB"/>
    <w:rsid w:val="003E7754"/>
    <w:rsid w:val="003E7D3B"/>
    <w:rsid w:val="003F4C1F"/>
    <w:rsid w:val="003F79D6"/>
    <w:rsid w:val="004110F2"/>
    <w:rsid w:val="00412963"/>
    <w:rsid w:val="00414A70"/>
    <w:rsid w:val="004343E9"/>
    <w:rsid w:val="00434853"/>
    <w:rsid w:val="0043629D"/>
    <w:rsid w:val="004466E8"/>
    <w:rsid w:val="00475117"/>
    <w:rsid w:val="00481424"/>
    <w:rsid w:val="00486EF6"/>
    <w:rsid w:val="004873BE"/>
    <w:rsid w:val="00487550"/>
    <w:rsid w:val="00497C7E"/>
    <w:rsid w:val="004A085D"/>
    <w:rsid w:val="004A3248"/>
    <w:rsid w:val="004B47B1"/>
    <w:rsid w:val="004C3C9D"/>
    <w:rsid w:val="004D0EF2"/>
    <w:rsid w:val="004E353A"/>
    <w:rsid w:val="004E6378"/>
    <w:rsid w:val="004E69AA"/>
    <w:rsid w:val="004F4FF7"/>
    <w:rsid w:val="00510BBA"/>
    <w:rsid w:val="00511034"/>
    <w:rsid w:val="0051123B"/>
    <w:rsid w:val="00516972"/>
    <w:rsid w:val="00530888"/>
    <w:rsid w:val="00532A97"/>
    <w:rsid w:val="00535D6F"/>
    <w:rsid w:val="005379B2"/>
    <w:rsid w:val="00540A56"/>
    <w:rsid w:val="0055065F"/>
    <w:rsid w:val="00550FD9"/>
    <w:rsid w:val="00553A24"/>
    <w:rsid w:val="0058651F"/>
    <w:rsid w:val="005943E7"/>
    <w:rsid w:val="005B3A80"/>
    <w:rsid w:val="005B5028"/>
    <w:rsid w:val="005C4BA5"/>
    <w:rsid w:val="005D7B48"/>
    <w:rsid w:val="005E67A6"/>
    <w:rsid w:val="005F1B05"/>
    <w:rsid w:val="00601930"/>
    <w:rsid w:val="0060529E"/>
    <w:rsid w:val="00622C3A"/>
    <w:rsid w:val="00623A26"/>
    <w:rsid w:val="00631D24"/>
    <w:rsid w:val="00632190"/>
    <w:rsid w:val="006323A1"/>
    <w:rsid w:val="0063326E"/>
    <w:rsid w:val="006345BA"/>
    <w:rsid w:val="0063515C"/>
    <w:rsid w:val="006436D4"/>
    <w:rsid w:val="0064589D"/>
    <w:rsid w:val="00650A00"/>
    <w:rsid w:val="00654BFD"/>
    <w:rsid w:val="006614C7"/>
    <w:rsid w:val="00685D1F"/>
    <w:rsid w:val="006865A2"/>
    <w:rsid w:val="00690E84"/>
    <w:rsid w:val="00695F29"/>
    <w:rsid w:val="006A1753"/>
    <w:rsid w:val="006A615F"/>
    <w:rsid w:val="006B1C49"/>
    <w:rsid w:val="006D06CF"/>
    <w:rsid w:val="006D4DF9"/>
    <w:rsid w:val="006E27FB"/>
    <w:rsid w:val="006F47A3"/>
    <w:rsid w:val="006F64B3"/>
    <w:rsid w:val="00701FC3"/>
    <w:rsid w:val="00710ACD"/>
    <w:rsid w:val="00715ED8"/>
    <w:rsid w:val="007161FD"/>
    <w:rsid w:val="007231AE"/>
    <w:rsid w:val="00727D38"/>
    <w:rsid w:val="0073243B"/>
    <w:rsid w:val="007410FE"/>
    <w:rsid w:val="0074236A"/>
    <w:rsid w:val="00746D9F"/>
    <w:rsid w:val="00750203"/>
    <w:rsid w:val="00755EE8"/>
    <w:rsid w:val="00761259"/>
    <w:rsid w:val="00775FB8"/>
    <w:rsid w:val="007846C5"/>
    <w:rsid w:val="00785C34"/>
    <w:rsid w:val="00786D0B"/>
    <w:rsid w:val="00790407"/>
    <w:rsid w:val="0079088C"/>
    <w:rsid w:val="007911E8"/>
    <w:rsid w:val="00797AD4"/>
    <w:rsid w:val="007A162E"/>
    <w:rsid w:val="007B56AA"/>
    <w:rsid w:val="007C213F"/>
    <w:rsid w:val="007D06AC"/>
    <w:rsid w:val="007E5B6B"/>
    <w:rsid w:val="007F0FBC"/>
    <w:rsid w:val="007F18AE"/>
    <w:rsid w:val="007F693E"/>
    <w:rsid w:val="007F6A2D"/>
    <w:rsid w:val="008116F9"/>
    <w:rsid w:val="008137F4"/>
    <w:rsid w:val="0082773E"/>
    <w:rsid w:val="00831D6E"/>
    <w:rsid w:val="00836942"/>
    <w:rsid w:val="00837FCC"/>
    <w:rsid w:val="00843F03"/>
    <w:rsid w:val="00846867"/>
    <w:rsid w:val="0085152A"/>
    <w:rsid w:val="00861C52"/>
    <w:rsid w:val="00866F2C"/>
    <w:rsid w:val="008710F9"/>
    <w:rsid w:val="008754EA"/>
    <w:rsid w:val="00882AD5"/>
    <w:rsid w:val="0089436A"/>
    <w:rsid w:val="0089673B"/>
    <w:rsid w:val="008A0804"/>
    <w:rsid w:val="008A4E3E"/>
    <w:rsid w:val="008A575A"/>
    <w:rsid w:val="008C084E"/>
    <w:rsid w:val="008C0946"/>
    <w:rsid w:val="008E0108"/>
    <w:rsid w:val="008E2AB4"/>
    <w:rsid w:val="008F16A2"/>
    <w:rsid w:val="00921892"/>
    <w:rsid w:val="00930952"/>
    <w:rsid w:val="00934A26"/>
    <w:rsid w:val="00941F1C"/>
    <w:rsid w:val="009464AC"/>
    <w:rsid w:val="00951547"/>
    <w:rsid w:val="00957873"/>
    <w:rsid w:val="00957885"/>
    <w:rsid w:val="00976476"/>
    <w:rsid w:val="00982ADA"/>
    <w:rsid w:val="00986C8A"/>
    <w:rsid w:val="009877F8"/>
    <w:rsid w:val="00996248"/>
    <w:rsid w:val="00996A8D"/>
    <w:rsid w:val="009A344E"/>
    <w:rsid w:val="009A3836"/>
    <w:rsid w:val="009A6ACB"/>
    <w:rsid w:val="009B4290"/>
    <w:rsid w:val="009C472F"/>
    <w:rsid w:val="009E337B"/>
    <w:rsid w:val="009F13CD"/>
    <w:rsid w:val="00A02361"/>
    <w:rsid w:val="00A06B39"/>
    <w:rsid w:val="00A06FB5"/>
    <w:rsid w:val="00A140B8"/>
    <w:rsid w:val="00A22A8D"/>
    <w:rsid w:val="00A3027F"/>
    <w:rsid w:val="00A32CCF"/>
    <w:rsid w:val="00A37E2F"/>
    <w:rsid w:val="00A54DA8"/>
    <w:rsid w:val="00A600CB"/>
    <w:rsid w:val="00A6387D"/>
    <w:rsid w:val="00A70FFC"/>
    <w:rsid w:val="00A93B29"/>
    <w:rsid w:val="00A974AC"/>
    <w:rsid w:val="00AA7692"/>
    <w:rsid w:val="00AB1EDB"/>
    <w:rsid w:val="00AB259C"/>
    <w:rsid w:val="00AB67BB"/>
    <w:rsid w:val="00AC651E"/>
    <w:rsid w:val="00AD5B40"/>
    <w:rsid w:val="00AE0421"/>
    <w:rsid w:val="00B03E0D"/>
    <w:rsid w:val="00B06A34"/>
    <w:rsid w:val="00B1343B"/>
    <w:rsid w:val="00B17998"/>
    <w:rsid w:val="00B26268"/>
    <w:rsid w:val="00B30804"/>
    <w:rsid w:val="00B31C4E"/>
    <w:rsid w:val="00B54204"/>
    <w:rsid w:val="00B676CF"/>
    <w:rsid w:val="00B837D8"/>
    <w:rsid w:val="00B84A84"/>
    <w:rsid w:val="00B87F32"/>
    <w:rsid w:val="00BA3F79"/>
    <w:rsid w:val="00BB5959"/>
    <w:rsid w:val="00BB5E20"/>
    <w:rsid w:val="00BB741D"/>
    <w:rsid w:val="00BC2CFA"/>
    <w:rsid w:val="00BE11BC"/>
    <w:rsid w:val="00C01A3E"/>
    <w:rsid w:val="00C0435A"/>
    <w:rsid w:val="00C12E89"/>
    <w:rsid w:val="00C14F94"/>
    <w:rsid w:val="00C35BCB"/>
    <w:rsid w:val="00C448B2"/>
    <w:rsid w:val="00C51768"/>
    <w:rsid w:val="00C809D7"/>
    <w:rsid w:val="00C81677"/>
    <w:rsid w:val="00C84AAD"/>
    <w:rsid w:val="00C90068"/>
    <w:rsid w:val="00CA3D5D"/>
    <w:rsid w:val="00CA7959"/>
    <w:rsid w:val="00CB4AC9"/>
    <w:rsid w:val="00CD53E3"/>
    <w:rsid w:val="00CF3421"/>
    <w:rsid w:val="00D01791"/>
    <w:rsid w:val="00D03D55"/>
    <w:rsid w:val="00D1286F"/>
    <w:rsid w:val="00D14306"/>
    <w:rsid w:val="00D21259"/>
    <w:rsid w:val="00D417E5"/>
    <w:rsid w:val="00D50045"/>
    <w:rsid w:val="00D5157F"/>
    <w:rsid w:val="00D760AB"/>
    <w:rsid w:val="00D80ABC"/>
    <w:rsid w:val="00D85DBB"/>
    <w:rsid w:val="00D87038"/>
    <w:rsid w:val="00D91B1B"/>
    <w:rsid w:val="00D941EC"/>
    <w:rsid w:val="00D96584"/>
    <w:rsid w:val="00D96710"/>
    <w:rsid w:val="00DA4391"/>
    <w:rsid w:val="00DB610B"/>
    <w:rsid w:val="00DC24A9"/>
    <w:rsid w:val="00DC7282"/>
    <w:rsid w:val="00DC7CDE"/>
    <w:rsid w:val="00DD27EC"/>
    <w:rsid w:val="00DF21CA"/>
    <w:rsid w:val="00DF779A"/>
    <w:rsid w:val="00E11A20"/>
    <w:rsid w:val="00E14F10"/>
    <w:rsid w:val="00E30A3E"/>
    <w:rsid w:val="00E36907"/>
    <w:rsid w:val="00E41C47"/>
    <w:rsid w:val="00E46917"/>
    <w:rsid w:val="00E47C9D"/>
    <w:rsid w:val="00E515B1"/>
    <w:rsid w:val="00E52BFF"/>
    <w:rsid w:val="00E5609A"/>
    <w:rsid w:val="00E61C96"/>
    <w:rsid w:val="00E733AB"/>
    <w:rsid w:val="00E73AF6"/>
    <w:rsid w:val="00E75039"/>
    <w:rsid w:val="00E81F56"/>
    <w:rsid w:val="00E8329E"/>
    <w:rsid w:val="00E843D9"/>
    <w:rsid w:val="00E96600"/>
    <w:rsid w:val="00EA53D5"/>
    <w:rsid w:val="00EA7F37"/>
    <w:rsid w:val="00EB1516"/>
    <w:rsid w:val="00EB2EF0"/>
    <w:rsid w:val="00EB30A1"/>
    <w:rsid w:val="00EC18E4"/>
    <w:rsid w:val="00EC44CF"/>
    <w:rsid w:val="00ED074D"/>
    <w:rsid w:val="00ED5CAA"/>
    <w:rsid w:val="00ED7E84"/>
    <w:rsid w:val="00EE1C10"/>
    <w:rsid w:val="00EE4F68"/>
    <w:rsid w:val="00EE7C01"/>
    <w:rsid w:val="00EF35BD"/>
    <w:rsid w:val="00EF499F"/>
    <w:rsid w:val="00EF6C2B"/>
    <w:rsid w:val="00F04810"/>
    <w:rsid w:val="00F10603"/>
    <w:rsid w:val="00F15535"/>
    <w:rsid w:val="00F1634B"/>
    <w:rsid w:val="00F16F75"/>
    <w:rsid w:val="00F375D6"/>
    <w:rsid w:val="00F46431"/>
    <w:rsid w:val="00F628CA"/>
    <w:rsid w:val="00F64E39"/>
    <w:rsid w:val="00F66AD9"/>
    <w:rsid w:val="00F75FEC"/>
    <w:rsid w:val="00F856BA"/>
    <w:rsid w:val="00FA72A8"/>
    <w:rsid w:val="00FB13A3"/>
    <w:rsid w:val="00FB550D"/>
    <w:rsid w:val="00FB6929"/>
    <w:rsid w:val="00FC123D"/>
    <w:rsid w:val="00FD463D"/>
    <w:rsid w:val="00FE4AFD"/>
    <w:rsid w:val="00FF0263"/>
    <w:rsid w:val="00FF51C2"/>
    <w:rsid w:val="1546441F"/>
    <w:rsid w:val="1C570D40"/>
    <w:rsid w:val="5D954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4D471736-FC77-453A-A3D2-BC917497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hAnsi="Times New Roman"/>
      <w:kern w:val="2"/>
      <w:sz w:val="21"/>
      <w:szCs w:val="21"/>
    </w:rPr>
  </w:style>
  <w:style w:type="paragraph" w:styleId="30">
    <w:name w:val="heading 3"/>
    <w:basedOn w:val="a"/>
    <w:next w:val="a"/>
    <w:link w:val="31"/>
    <w:autoRedefine/>
    <w:uiPriority w:val="99"/>
    <w:qFormat/>
    <w:pPr>
      <w:widowControl/>
      <w:tabs>
        <w:tab w:val="left" w:pos="540"/>
      </w:tabs>
      <w:overflowPunct w:val="0"/>
      <w:autoSpaceDE w:val="0"/>
      <w:autoSpaceDN w:val="0"/>
      <w:adjustRightInd w:val="0"/>
      <w:snapToGrid w:val="0"/>
      <w:ind w:left="420" w:hanging="420"/>
      <w:jc w:val="left"/>
      <w:textAlignment w:val="baseline"/>
      <w:outlineLvl w:val="2"/>
    </w:pPr>
    <w:rPr>
      <w:rFonts w:ascii="方正准圆_GBK_平安专用" w:eastAsia="方正准圆_GBK_平安专用" w:hAnsi="Arial" w:cs="方正准圆_GBK_平安专用"/>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qFormat/>
    <w:pPr>
      <w:jc w:val="left"/>
    </w:pPr>
  </w:style>
  <w:style w:type="paragraph" w:styleId="a5">
    <w:name w:val="Balloon Text"/>
    <w:basedOn w:val="a"/>
    <w:link w:val="a6"/>
    <w:autoRedefine/>
    <w:uiPriority w:val="99"/>
    <w:semiHidden/>
    <w:qFormat/>
    <w:rPr>
      <w:sz w:val="18"/>
      <w:szCs w:val="18"/>
    </w:rPr>
  </w:style>
  <w:style w:type="paragraph" w:styleId="a7">
    <w:name w:val="footer"/>
    <w:basedOn w:val="a"/>
    <w:link w:val="a8"/>
    <w:autoRedefine/>
    <w:uiPriority w:val="99"/>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autoRedefine/>
    <w:uiPriority w:val="99"/>
    <w:semiHidden/>
    <w:qFormat/>
    <w:rPr>
      <w:b/>
      <w:bCs/>
    </w:rPr>
  </w:style>
  <w:style w:type="table" w:styleId="ae">
    <w:name w:val="Table Grid"/>
    <w:basedOn w:val="a1"/>
    <w:autoRedefine/>
    <w:uiPriority w:val="9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uiPriority w:val="99"/>
    <w:qFormat/>
    <w:rPr>
      <w:b/>
      <w:bCs/>
    </w:rPr>
  </w:style>
  <w:style w:type="character" w:styleId="af0">
    <w:name w:val="annotation reference"/>
    <w:basedOn w:val="a0"/>
    <w:autoRedefine/>
    <w:uiPriority w:val="99"/>
    <w:semiHidden/>
    <w:qFormat/>
    <w:rPr>
      <w:sz w:val="21"/>
      <w:szCs w:val="21"/>
    </w:rPr>
  </w:style>
  <w:style w:type="character" w:customStyle="1" w:styleId="31">
    <w:name w:val="标题 3 字符"/>
    <w:basedOn w:val="a0"/>
    <w:link w:val="30"/>
    <w:autoRedefine/>
    <w:uiPriority w:val="99"/>
    <w:locked/>
    <w:rPr>
      <w:rFonts w:ascii="方正准圆_GBK_平安专用" w:eastAsia="方正准圆_GBK_平安专用" w:hAnsi="Arial" w:cs="方正准圆_GBK_平安专用"/>
      <w:b/>
      <w:bCs/>
      <w:kern w:val="2"/>
      <w:sz w:val="24"/>
      <w:szCs w:val="24"/>
    </w:rPr>
  </w:style>
  <w:style w:type="character" w:customStyle="1" w:styleId="aa">
    <w:name w:val="页眉 字符"/>
    <w:basedOn w:val="a0"/>
    <w:link w:val="a9"/>
    <w:autoRedefine/>
    <w:uiPriority w:val="99"/>
    <w:qFormat/>
    <w:locked/>
    <w:rPr>
      <w:rFonts w:ascii="Times New Roman" w:eastAsia="宋体" w:hAnsi="Times New Roman" w:cs="Times New Roman"/>
      <w:sz w:val="18"/>
      <w:szCs w:val="18"/>
    </w:rPr>
  </w:style>
  <w:style w:type="character" w:customStyle="1" w:styleId="a8">
    <w:name w:val="页脚 字符"/>
    <w:basedOn w:val="a0"/>
    <w:link w:val="a7"/>
    <w:autoRedefine/>
    <w:uiPriority w:val="99"/>
    <w:qFormat/>
    <w:locked/>
    <w:rPr>
      <w:rFonts w:ascii="Times New Roman" w:eastAsia="宋体" w:hAnsi="Times New Roman" w:cs="Times New Roman"/>
      <w:sz w:val="18"/>
      <w:szCs w:val="18"/>
    </w:rPr>
  </w:style>
  <w:style w:type="paragraph" w:customStyle="1" w:styleId="FAQ305050505">
    <w:name w:val="样式 样式 深发展FAQ标题3 + 段前: 0.5 行 段后: 0.5 行 + 段前: 0.5 行 段后: 0.5 行"/>
    <w:basedOn w:val="a"/>
    <w:autoRedefine/>
    <w:uiPriority w:val="99"/>
    <w:qFormat/>
    <w:pPr>
      <w:widowControl/>
      <w:tabs>
        <w:tab w:val="left" w:pos="540"/>
      </w:tabs>
      <w:overflowPunct w:val="0"/>
      <w:autoSpaceDE w:val="0"/>
      <w:autoSpaceDN w:val="0"/>
      <w:adjustRightInd w:val="0"/>
      <w:snapToGrid w:val="0"/>
      <w:spacing w:beforeLines="50" w:afterLines="50" w:line="288" w:lineRule="auto"/>
      <w:jc w:val="left"/>
      <w:textAlignment w:val="baseline"/>
      <w:outlineLvl w:val="2"/>
    </w:pPr>
    <w:rPr>
      <w:rFonts w:ascii="黑体" w:eastAsia="黑体" w:hAnsi="Arial" w:cs="黑体"/>
      <w:color w:val="000000"/>
      <w:sz w:val="24"/>
      <w:szCs w:val="24"/>
    </w:rPr>
  </w:style>
  <w:style w:type="paragraph" w:customStyle="1" w:styleId="CM189ArialGB2312078">
    <w:name w:val="样式 样式 样式 CM189 + (西文) Arial (中文) 仿宋_GB2312 段前: 0 磅 段后: 7.8 磅 行距:..."/>
    <w:basedOn w:val="a"/>
    <w:link w:val="CM189ArialGB2312078Char"/>
    <w:autoRedefine/>
    <w:uiPriority w:val="99"/>
    <w:pPr>
      <w:spacing w:beforeLines="50" w:afterLines="50" w:line="288" w:lineRule="auto"/>
      <w:ind w:firstLineChars="200" w:firstLine="200"/>
    </w:pPr>
    <w:rPr>
      <w:rFonts w:ascii="Arial" w:eastAsia="仿宋_GB2312" w:hAnsi="Arial" w:cs="Arial"/>
      <w:sz w:val="24"/>
      <w:szCs w:val="24"/>
    </w:rPr>
  </w:style>
  <w:style w:type="paragraph" w:customStyle="1" w:styleId="3">
    <w:name w:val="标题3"/>
    <w:basedOn w:val="30"/>
    <w:autoRedefine/>
    <w:uiPriority w:val="99"/>
    <w:qFormat/>
    <w:pPr>
      <w:keepNext/>
      <w:keepLines/>
      <w:numPr>
        <w:numId w:val="1"/>
      </w:numPr>
      <w:tabs>
        <w:tab w:val="clear" w:pos="540"/>
      </w:tabs>
      <w:overflowPunct/>
      <w:autoSpaceDE/>
      <w:autoSpaceDN/>
      <w:adjustRightInd/>
      <w:ind w:rightChars="100" w:right="220"/>
      <w:textAlignment w:val="auto"/>
    </w:pPr>
    <w:rPr>
      <w:rFonts w:ascii="宋体" w:eastAsia="宋体" w:hAnsi="宋体" w:cs="宋体"/>
      <w:color w:val="333333"/>
      <w:kern w:val="0"/>
      <w:sz w:val="21"/>
      <w:szCs w:val="21"/>
    </w:rPr>
  </w:style>
  <w:style w:type="paragraph" w:styleId="af1">
    <w:name w:val="List Paragraph"/>
    <w:basedOn w:val="a"/>
    <w:autoRedefine/>
    <w:uiPriority w:val="99"/>
    <w:qFormat/>
    <w:pPr>
      <w:ind w:firstLineChars="200" w:firstLine="420"/>
    </w:pPr>
  </w:style>
  <w:style w:type="paragraph" w:customStyle="1" w:styleId="FAQ3">
    <w:name w:val="深发展FAQ标题3"/>
    <w:basedOn w:val="30"/>
    <w:link w:val="FAQ3Char"/>
    <w:autoRedefine/>
    <w:uiPriority w:val="99"/>
    <w:qFormat/>
    <w:pPr>
      <w:numPr>
        <w:numId w:val="2"/>
      </w:numPr>
      <w:spacing w:beforeLines="50" w:after="156" w:line="288" w:lineRule="auto"/>
      <w:ind w:left="0" w:firstLine="0"/>
    </w:pPr>
  </w:style>
  <w:style w:type="character" w:customStyle="1" w:styleId="FAQ3Char">
    <w:name w:val="深发展FAQ标题3 Char"/>
    <w:basedOn w:val="31"/>
    <w:link w:val="FAQ3"/>
    <w:autoRedefine/>
    <w:uiPriority w:val="99"/>
    <w:qFormat/>
    <w:locked/>
    <w:rPr>
      <w:rFonts w:ascii="方正准圆_GBK_平安专用" w:eastAsia="方正准圆_GBK_平安专用" w:hAnsi="Arial" w:cs="方正准圆_GBK_平安专用"/>
      <w:b/>
      <w:bCs/>
      <w:kern w:val="2"/>
      <w:sz w:val="24"/>
      <w:szCs w:val="24"/>
    </w:rPr>
  </w:style>
  <w:style w:type="character" w:customStyle="1" w:styleId="CM189ArialGB2312078Char">
    <w:name w:val="样式 样式 样式 CM189 + (西文) Arial (中文) 仿宋_GB2312 段前: 0 磅 段后: 7.8 磅 行距:... Char"/>
    <w:basedOn w:val="a0"/>
    <w:link w:val="CM189ArialGB2312078"/>
    <w:autoRedefine/>
    <w:uiPriority w:val="99"/>
    <w:qFormat/>
    <w:locked/>
    <w:rPr>
      <w:rFonts w:ascii="Arial" w:eastAsia="仿宋_GB2312" w:hAnsi="Arial" w:cs="Arial"/>
      <w:sz w:val="20"/>
      <w:szCs w:val="20"/>
    </w:rPr>
  </w:style>
  <w:style w:type="paragraph" w:customStyle="1" w:styleId="32">
    <w:name w:val="样式3"/>
    <w:basedOn w:val="CM189ArialGB2312078"/>
    <w:link w:val="3Char"/>
    <w:autoRedefine/>
    <w:uiPriority w:val="99"/>
    <w:qFormat/>
    <w:pPr>
      <w:snapToGrid w:val="0"/>
      <w:spacing w:before="156" w:afterLines="0"/>
      <w:ind w:firstLine="480"/>
    </w:pPr>
    <w:rPr>
      <w:rFonts w:eastAsia="方正准圆_GBK_平安专用" w:cs="Times New Roman"/>
      <w:kern w:val="0"/>
    </w:rPr>
  </w:style>
  <w:style w:type="character" w:customStyle="1" w:styleId="3Char">
    <w:name w:val="样式3 Char"/>
    <w:link w:val="32"/>
    <w:autoRedefine/>
    <w:uiPriority w:val="99"/>
    <w:qFormat/>
    <w:locked/>
    <w:rPr>
      <w:rFonts w:ascii="Arial" w:eastAsia="方正准圆_GBK_平安专用" w:hAnsi="Arial" w:cs="Arial"/>
      <w:sz w:val="24"/>
      <w:szCs w:val="24"/>
    </w:rPr>
  </w:style>
  <w:style w:type="paragraph" w:customStyle="1" w:styleId="1">
    <w:name w:val="样式1"/>
    <w:basedOn w:val="af1"/>
    <w:autoRedefine/>
    <w:uiPriority w:val="99"/>
    <w:qFormat/>
    <w:pPr>
      <w:numPr>
        <w:numId w:val="3"/>
      </w:numPr>
      <w:ind w:firstLineChars="0" w:firstLine="0"/>
    </w:pPr>
    <w:rPr>
      <w:rFonts w:ascii="黑体" w:eastAsia="黑体" w:hAnsi="黑体" w:cs="黑体"/>
    </w:rPr>
  </w:style>
  <w:style w:type="character" w:customStyle="1" w:styleId="a6">
    <w:name w:val="批注框文本 字符"/>
    <w:basedOn w:val="a0"/>
    <w:link w:val="a5"/>
    <w:autoRedefine/>
    <w:uiPriority w:val="99"/>
    <w:semiHidden/>
    <w:qFormat/>
    <w:locked/>
    <w:rPr>
      <w:rFonts w:ascii="Times New Roman" w:eastAsia="宋体" w:hAnsi="Times New Roman" w:cs="Times New Roman"/>
      <w:sz w:val="18"/>
      <w:szCs w:val="18"/>
    </w:rPr>
  </w:style>
  <w:style w:type="paragraph" w:customStyle="1" w:styleId="p1">
    <w:name w:val="p1"/>
    <w:basedOn w:val="a"/>
    <w:autoRedefine/>
    <w:uiPriority w:val="99"/>
    <w:qFormat/>
    <w:pPr>
      <w:widowControl/>
      <w:spacing w:before="100" w:beforeAutospacing="1" w:after="100" w:afterAutospacing="1"/>
      <w:jc w:val="left"/>
    </w:pPr>
    <w:rPr>
      <w:rFonts w:ascii="宋体" w:hAnsi="宋体" w:cs="宋体"/>
      <w:kern w:val="0"/>
      <w:sz w:val="24"/>
      <w:szCs w:val="24"/>
    </w:rPr>
  </w:style>
  <w:style w:type="character" w:customStyle="1" w:styleId="s1">
    <w:name w:val="s1"/>
    <w:basedOn w:val="a0"/>
    <w:autoRedefine/>
    <w:uiPriority w:val="99"/>
    <w:qFormat/>
  </w:style>
  <w:style w:type="paragraph" w:customStyle="1" w:styleId="p2">
    <w:name w:val="p2"/>
    <w:basedOn w:val="a"/>
    <w:autoRedefine/>
    <w:uiPriority w:val="99"/>
    <w:qFormat/>
    <w:pPr>
      <w:widowControl/>
      <w:spacing w:before="100" w:beforeAutospacing="1" w:after="100" w:afterAutospacing="1"/>
      <w:jc w:val="left"/>
    </w:pPr>
    <w:rPr>
      <w:rFonts w:ascii="宋体" w:hAnsi="宋体" w:cs="宋体"/>
      <w:kern w:val="0"/>
      <w:sz w:val="24"/>
      <w:szCs w:val="24"/>
    </w:rPr>
  </w:style>
  <w:style w:type="character" w:customStyle="1" w:styleId="a4">
    <w:name w:val="批注文字 字符"/>
    <w:basedOn w:val="a0"/>
    <w:link w:val="a3"/>
    <w:autoRedefine/>
    <w:uiPriority w:val="99"/>
    <w:semiHidden/>
    <w:qFormat/>
    <w:locked/>
    <w:rPr>
      <w:rFonts w:ascii="Times New Roman" w:eastAsia="宋体" w:hAnsi="Times New Roman" w:cs="Times New Roman"/>
      <w:sz w:val="24"/>
      <w:szCs w:val="24"/>
    </w:rPr>
  </w:style>
  <w:style w:type="character" w:customStyle="1" w:styleId="ad">
    <w:name w:val="批注主题 字符"/>
    <w:basedOn w:val="a4"/>
    <w:link w:val="ac"/>
    <w:autoRedefine/>
    <w:uiPriority w:val="99"/>
    <w:semiHidden/>
    <w:qFormat/>
    <w:locked/>
    <w:rPr>
      <w:rFonts w:ascii="Times New Roman" w:eastAsia="宋体" w:hAnsi="Times New Roman" w:cs="Times New Roman"/>
      <w:b/>
      <w:bCs/>
      <w:sz w:val="24"/>
      <w:szCs w:val="24"/>
    </w:rPr>
  </w:style>
  <w:style w:type="paragraph" w:customStyle="1" w:styleId="10">
    <w:name w:val="修订1"/>
    <w:autoRedefine/>
    <w:hidden/>
    <w:uiPriority w:val="99"/>
    <w:semiHidden/>
    <w:qFormat/>
    <w:rPr>
      <w:rFonts w:ascii="Times New Roman" w:hAnsi="Times New Roman"/>
      <w:kern w:val="2"/>
      <w:sz w:val="21"/>
      <w:szCs w:val="21"/>
    </w:rPr>
  </w:style>
  <w:style w:type="paragraph" w:styleId="af2">
    <w:name w:val="Revision"/>
    <w:hidden/>
    <w:uiPriority w:val="99"/>
    <w:unhideWhenUsed/>
    <w:rsid w:val="007161FD"/>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492</Words>
  <Characters>2811</Characters>
  <Application>Microsoft Office Word</Application>
  <DocSecurity>0</DocSecurity>
  <Lines>23</Lines>
  <Paragraphs>6</Paragraphs>
  <ScaleCrop>false</ScaleCrop>
  <Company>sdb</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 Gao</dc:creator>
  <cp:lastModifiedBy>王雅丹</cp:lastModifiedBy>
  <cp:revision>9</cp:revision>
  <cp:lastPrinted>2023-07-07T06:23:00Z</cp:lastPrinted>
  <dcterms:created xsi:type="dcterms:W3CDTF">2023-07-07T06:26:00Z</dcterms:created>
  <dcterms:modified xsi:type="dcterms:W3CDTF">2024-11-01T08:45:00Z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A4A6BEE686594F5EB4F1CD7D873454BE_13</vt:lpwstr>
  </property>
</Properties>
</file>