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bookmarkStart w:id="1" w:name="_GoBack"/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lang w:val="en-US"/>
        </w:rPr>
        <w:t>17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  <w:bookmarkEnd w:id="1"/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关于对李林、倪兼明、杨璐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采取监管谈话措施的决定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李林、倪兼明、杨璐：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经查，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天创时尚股份有限公司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（以下简称天创时尚或公司）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存在以下违规情形：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一是未及时披露关联交易。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天创时尚控股子公司深圳九颂宇帆投资中心(有限合伙，以下简称深圳九颂)与自然人吴某某、深圳市快美妆科技有限公司(以下简称快美妆科技)实际控制人、深圳快美妆传播有限公司于2022年11月10日签订协议，约定深圳九颂以4000万元的价格受让吴某某持有的快美妆科技8.8712%的股权。而吴某某持有的快美妆科技股权于2022年6月以1320万元价格受让于平潭尚见股权投资合伙企业(普通合伙，以下简称平潭尚见)，吴某某与平潭尚见之间的上述交易无商业实质。在深圳九颂向吴某某购买快美妆科技股权时，平潭尚见为持有公司5%以上股权的法人，为公司的关联企业，上述交易穿透后构成关联交易。公司未对上述交易履行关联交易审议程序，也未及时对外披露。上述情形违反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《上市公司信息披露管理办法》（证监会令第182号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，下同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第三条第一款、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四十一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36" w:lineRule="auto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二是未及时披露收到政府补助相关情况。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天创时尚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2022年累计收到计入当期损益的政府补助1674.59万元，其中与收益相关的政府补助1525.25万元，占2021年度经审计的净利润绝对值的24.18%。但公司未及时履行信息披露义务。上述情形违反了《上市公司信息披露管理办法》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第三条第一款、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第二十二条第一款、第二款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第十二项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规定。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36" w:lineRule="auto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天创时尚董事长李林、时任总经理倪兼明、董事会秘书杨璐未按照《上市公司信息披露管理办法》第四条、第五十一条第二款的规定履行勤勉尽责义务，对公司上述违规行为负有主要责任。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《上市公司信息披露管理办法》第五十二条规定，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我局决定对李林、倪兼明、杨璐采取监管谈话的行政监管措施。</w:t>
      </w:r>
      <w:r>
        <w:rPr>
          <w:rFonts w:hint="eastAsia" w:ascii="仿宋_GB2312" w:hAnsi="仿宋_GB2312" w:eastAsia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现要求你们于2024年11月15日下午2时30分携带有效身份证件到我局（广东省广州市天河区临江大道3号13楼）接受监管谈话。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复议与诉讼期间，上述监督管理措施不停止执行。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6"/>
          <w:szCs w:val="36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</w:t>
      </w:r>
      <w:r>
        <w:rPr>
          <w:rFonts w:hint="eastAsia" w:ascii="仿宋_GB2312" w:eastAsia="仿宋_GB2312"/>
          <w:spacing w:val="8"/>
          <w:sz w:val="28"/>
          <w:lang w:eastAsia="zh-CN"/>
        </w:rPr>
        <w:t>证监会上市司、法治司；上海证券交易所。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1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0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28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s0lY7tAAAAAFAQAA&#10;DwAAAAAAAAABACAAAAA4AAAAZHJzL2Rvd25yZXYueG1sUEsBAhQAFAAAAAgAh07iQF4aj184AgAA&#10;bwQAAA4AAAAAAAAAAQAgAAAANQ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5BBEF"/>
    <w:rsid w:val="5D56A301"/>
    <w:rsid w:val="77EF1A2D"/>
    <w:rsid w:val="79E74AFA"/>
    <w:rsid w:val="7CA7D0DC"/>
    <w:rsid w:val="7D8F2344"/>
    <w:rsid w:val="B67D0CD4"/>
    <w:rsid w:val="D5BF8150"/>
    <w:rsid w:val="D71FF934"/>
    <w:rsid w:val="D78E5EB7"/>
    <w:rsid w:val="D7D5BBEF"/>
    <w:rsid w:val="DE7BE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2024-09-23T11:12:00Z</dcterms:created>
  <dc:creator>朱敏</dc:creator>
  <cp:lastModifiedBy>朱敏</cp:lastModifiedBy>
  <dcterms:modified xsi:type="dcterms:W3CDTF">2024-10-31T11:45:58Z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3EF8AA5325BE42A976FD2267C200A730</vt:lpwstr>
  </property>
</Properties>
</file>