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17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1" w:name="_GoBack"/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苏启文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措施的决定</w:t>
      </w:r>
      <w:bookmarkEnd w:id="1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苏启文：</w:t>
      </w:r>
    </w:p>
    <w:p>
      <w:pPr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经查，你作为广东洪兴实业股份有限公司(以下简称公司)监事，在2024年9月18日至30日期间，你的配偶王蕾通过其证券账户买卖公司股票,存在买入后六个月内卖出的情形。其中，累计买入25,900股，成交金额297,719.4元，累计卖出25,800股，成交金额342,322.12元。</w:t>
      </w:r>
    </w:p>
    <w:p>
      <w:pPr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根据《中华人民共和国证券法》（以下简称《证券法》）第四十四条第一款、第二款的规定,上述行为构成短线交易。依据《证券法》第一百七十条第二款的规定,我局决定对你采取出具警示函的行政监管措施。你应当引以为戒,认真吸取教训,本人及直系亲属应切实加强对证券法律法规的学习,严格规范交易行为,杜绝此类违规行为再次发生。</w:t>
      </w:r>
    </w:p>
    <w:p>
      <w:pPr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如果对本监督管理措施不服,可以在收到本决定书之日起60日内向中国证券监督管理委员会提出行政复议申请,也可以在收到本决定书之日起6个月内向有管辖权的人民法院提起诉讼。复议与诉讼期间,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1"/>
          <w:szCs w:val="21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</w:t>
      </w:r>
      <w:r>
        <w:rPr>
          <w:rFonts w:hint="eastAsia" w:ascii="仿宋_GB2312" w:eastAsia="仿宋_GB2312"/>
          <w:spacing w:val="8"/>
          <w:sz w:val="28"/>
          <w:lang w:eastAsia="zh-CN"/>
        </w:rPr>
        <w:t>证监会上市司、法治司；深圳证券交易所。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1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0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29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89E8"/>
    <w:rsid w:val="33FFE746"/>
    <w:rsid w:val="7BDB2347"/>
    <w:rsid w:val="7EEF89E8"/>
    <w:rsid w:val="9F3FC10A"/>
    <w:rsid w:val="EBEF4BAC"/>
    <w:rsid w:val="EDFFBDC5"/>
    <w:rsid w:val="FD5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2024-08-26T01:37:00Z</dcterms:created>
  <dc:creator>郑诗婷</dc:creator>
  <cp:lastModifiedBy>陈泓安</cp:lastModifiedBy>
  <dcterms:modified xsi:type="dcterms:W3CDTF">2024-11-01T09:39:29Z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211E73244361663D51312467E035B6B6</vt:lpwstr>
  </property>
</Properties>
</file>