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国投中鲁果汁股份有限公司</w:t>
      </w:r>
    </w:p>
    <w:p>
      <w:pPr>
        <w:jc w:val="center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投资者关系活动记录表</w:t>
      </w:r>
    </w:p>
    <w:p>
      <w:pPr>
        <w:jc w:val="center"/>
        <w:rPr>
          <w:rFonts w:hint="eastAsia"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（</w:t>
      </w:r>
      <w:r>
        <w:rPr>
          <w:rFonts w:ascii="黑体" w:hAnsi="黑体" w:eastAsia="黑体"/>
          <w:b/>
          <w:color w:val="FF0000"/>
          <w:sz w:val="36"/>
          <w:szCs w:val="36"/>
        </w:rPr>
        <w:t>202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4</w:t>
      </w:r>
      <w:r>
        <w:rPr>
          <w:rFonts w:ascii="黑体" w:hAnsi="黑体" w:eastAsia="黑体"/>
          <w:b/>
          <w:color w:val="FF0000"/>
          <w:sz w:val="36"/>
          <w:szCs w:val="36"/>
        </w:rPr>
        <w:t>年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11</w:t>
      </w:r>
      <w:r>
        <w:rPr>
          <w:rFonts w:ascii="黑体" w:hAnsi="黑体" w:eastAsia="黑体"/>
          <w:b/>
          <w:color w:val="FF0000"/>
          <w:sz w:val="36"/>
          <w:szCs w:val="36"/>
        </w:rPr>
        <w:t>月）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股票简称：国投中鲁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股票代码：600962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编号：202</w:t>
      </w:r>
      <w:r>
        <w:rPr>
          <w:rFonts w:hint="eastAsia" w:ascii="宋体" w:hAnsi="宋体" w:eastAsia="宋体"/>
          <w:sz w:val="24"/>
          <w:szCs w:val="24"/>
        </w:rPr>
        <w:t>4</w:t>
      </w:r>
      <w:r>
        <w:rPr>
          <w:rFonts w:ascii="宋体" w:hAnsi="宋体" w:eastAsia="宋体"/>
          <w:sz w:val="24"/>
          <w:szCs w:val="24"/>
        </w:rPr>
        <w:t>-00</w:t>
      </w: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cr/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活动类别</w:t>
            </w:r>
          </w:p>
        </w:tc>
        <w:tc>
          <w:tcPr>
            <w:tcW w:w="4062" w:type="pct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Segoe UI Symbol" w:hAnsi="Segoe UI Symbol" w:eastAsia="宋体" w:cs="Segoe UI Symbol"/>
                <w:sz w:val="24"/>
                <w:szCs w:val="24"/>
              </w:rPr>
              <w:t>☑</w:t>
            </w:r>
            <w:r>
              <w:rPr>
                <w:rFonts w:ascii="宋体" w:hAnsi="宋体" w:eastAsia="宋体"/>
                <w:sz w:val="24"/>
                <w:szCs w:val="24"/>
              </w:rPr>
              <w:t>特定对象调研          □分析师会议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□媒体采访              □业绩说明会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□新闻发布会            □路演活动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□现场参观              □其他(请文字说明)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参与单位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及人员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4062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中信证券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、嘉实基金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参与时间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2024年11月1日星期五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参与地点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国投中鲁会议室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副总经理、董事会秘书：殷实 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董事会办公室：李美荣 姚铁龙 刘念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4062" w:type="pct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：请介绍公司发展战略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woUserID w:val="1"/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未来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woUserID w:val="1"/>
              </w:rPr>
              <w:t>发展方向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答：公司“十四五”发展规划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紧密围绕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国家乡村振兴战略和“一带一路”倡议，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秉承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“安全、健康、天然”的产品理念，为客户提供高品质产品，致力于成为全球知名以及细分领域内领先的饮料企业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。在此期间，我们聚焦主责主业，做精浓缩果汁业务，稳固龙头地位，同时积极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探索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新的市场机会和新业务领域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着力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构建“第二增长曲线”。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展望未来，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公司将根据国家发展战略、集团战略导向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行业发展趋势，立足自身实际，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精心规划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“十五五”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蓝图，确保公司持续健康、高质量发展。</w:t>
            </w:r>
          </w:p>
          <w:p>
            <w:pPr>
              <w:pStyle w:val="19"/>
              <w:spacing w:line="360" w:lineRule="auto"/>
              <w:ind w:firstLine="482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woUserID w:val="1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：浓缩苹果汁行业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woUserID w:val="1"/>
              </w:rPr>
              <w:t>已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较为成熟，公司是否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woUserID w:val="1"/>
              </w:rPr>
              <w:t>计划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拓宽业务条线？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尽管浓缩苹果汁行业已较为成熟，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  <w:woUserID w:val="1"/>
              </w:rPr>
              <w:t>公司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仍积极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  <w:woUserID w:val="1"/>
              </w:rPr>
              <w:t>在行业中寻找新的增长点，计划通过“三新一升级”战略来拓宽业务条线并强化主业优势，从而提升整体竞争力。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仿宋"/>
                <w:kern w:val="2"/>
                <w:sz w:val="24"/>
                <w:szCs w:val="24"/>
                <w:lang w:eastAsia="zh-CN" w:bidi="ar"/>
                <w:woUserID w:val="1"/>
              </w:rPr>
              <w:t>具体表现在：在新市场开拓方面，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巩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  <w:t>固美、日市场并深耕新兴市场，拓宽市场版图；在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新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  <w:t>产能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布局方面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  <w:t>，紧密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结合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  <w:t>优质水果产区，优化产能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配置，提升生产效率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  <w:t>；在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新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  <w:t>产品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创新方面</w:t>
            </w:r>
            <w:r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  <w:t>，积极推进NFC等新品类开发，并借助产学研合作，拓宽产品矩阵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；在管理升级方面，不断优化企业管理模式，适应业务发展需要，推动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2"/>
              </w:rPr>
              <w:t>可</w:t>
            </w:r>
            <w:r>
              <w:rPr>
                <w:rFonts w:hint="default" w:ascii="宋体" w:hAnsi="宋体" w:eastAsia="宋体" w:cs="仿宋"/>
                <w:sz w:val="24"/>
                <w:szCs w:val="24"/>
                <w:lang w:bidi="ar"/>
                <w:woUserID w:val="1"/>
              </w:rPr>
              <w:t>持续发展。</w:t>
            </w:r>
          </w:p>
          <w:p>
            <w:pPr>
              <w:pStyle w:val="19"/>
              <w:spacing w:line="360" w:lineRule="auto"/>
              <w:ind w:firstLine="482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woUserID w:val="1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作为央企下属上市企业，公司在市值管理方面面临哪些新要求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/>
                <w:sz w:val="24"/>
                <w:szCs w:val="24"/>
                <w:woUserID w:val="1"/>
              </w:rPr>
              <w:t>随着《上市公司监管指引第10号——市值管理（征求意见稿）》的发布，市值管理有了更明确的定义、目标、方式及主体责任，旨在提升</w:t>
            </w:r>
            <w:r>
              <w:rPr>
                <w:rFonts w:hint="default" w:ascii="宋体" w:hAnsi="宋体" w:eastAsia="宋体"/>
                <w:sz w:val="24"/>
                <w:szCs w:val="24"/>
                <w:woUserID w:val="2"/>
              </w:rPr>
              <w:t>上市</w:t>
            </w:r>
            <w:r>
              <w:rPr>
                <w:rFonts w:hint="eastAsia" w:ascii="宋体" w:hAnsi="宋体" w:eastAsia="宋体"/>
                <w:sz w:val="24"/>
                <w:szCs w:val="24"/>
                <w:woUserID w:val="1"/>
              </w:rPr>
              <w:t>公司投资价值和投资者回报。国资委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也提出计划</w:t>
            </w:r>
            <w:r>
              <w:rPr>
                <w:rFonts w:hint="eastAsia" w:ascii="宋体" w:hAnsi="宋体" w:eastAsia="宋体"/>
                <w:sz w:val="24"/>
                <w:szCs w:val="24"/>
                <w:woUserID w:val="1"/>
              </w:rPr>
              <w:t>将市值管理纳入中央企业负责人业绩考核。在此背景下，公司作为央企下属上市企业，将积极响应监管要求，着力提升公司</w:t>
            </w:r>
            <w:r>
              <w:rPr>
                <w:rFonts w:hint="default" w:ascii="宋体" w:hAnsi="宋体" w:eastAsia="宋体"/>
                <w:sz w:val="24"/>
                <w:szCs w:val="24"/>
                <w:woUserID w:val="2"/>
              </w:rPr>
              <w:t>发展</w:t>
            </w:r>
            <w:r>
              <w:rPr>
                <w:rFonts w:hint="eastAsia" w:ascii="宋体" w:hAnsi="宋体" w:eastAsia="宋体"/>
                <w:sz w:val="24"/>
                <w:szCs w:val="24"/>
                <w:woUserID w:val="1"/>
              </w:rPr>
              <w:t>质量，全面加强市值管理工作。</w:t>
            </w:r>
          </w:p>
          <w:p>
            <w:pPr>
              <w:pStyle w:val="19"/>
              <w:spacing w:line="360" w:lineRule="auto"/>
              <w:ind w:firstLine="482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问题</w:t>
            </w:r>
            <w:r>
              <w:rPr>
                <w:rFonts w:hint="default" w:ascii="宋体" w:hAnsi="宋体" w:eastAsia="宋体"/>
                <w:b/>
                <w:bCs/>
                <w:sz w:val="24"/>
                <w:szCs w:val="24"/>
                <w:woUserID w:val="1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汇率变化对公司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有何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影响，公司</w:t>
            </w:r>
            <w:r>
              <w:rPr>
                <w:rFonts w:hint="default" w:ascii="宋体" w:hAnsi="宋体" w:eastAsia="宋体"/>
                <w:sz w:val="24"/>
                <w:szCs w:val="24"/>
                <w:woUserID w:val="1"/>
              </w:rPr>
              <w:t>有何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应对措施？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答：公司的出口业务占比高达80%，且以美元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为主要结算货币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因此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汇率波动直接影响公司主营业务的盈利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状况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。为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降低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汇率风险，公司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一方面紧密跟踪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汇率走势，及时调整销售和回款策略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，以灵活应对市场波动；另一方面，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公司积极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远期结售汇等套期保值工具，结合账款回收期限锁定远期结算汇率，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woUserID w:val="1"/>
              </w:rPr>
              <w:t>以降低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汇率波动风险。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应当披露重大信息</w:t>
            </w:r>
          </w:p>
        </w:tc>
        <w:tc>
          <w:tcPr>
            <w:tcW w:w="4062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pc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附件清单</w:t>
            </w:r>
          </w:p>
        </w:tc>
        <w:tc>
          <w:tcPr>
            <w:tcW w:w="4062" w:type="pct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65"/>
    <w:rsid w:val="00007DAC"/>
    <w:rsid w:val="00011FBF"/>
    <w:rsid w:val="00012853"/>
    <w:rsid w:val="00013919"/>
    <w:rsid w:val="00062F73"/>
    <w:rsid w:val="00072531"/>
    <w:rsid w:val="000A1CBF"/>
    <w:rsid w:val="000A7C99"/>
    <w:rsid w:val="000B3499"/>
    <w:rsid w:val="001006D0"/>
    <w:rsid w:val="001137D0"/>
    <w:rsid w:val="001324DF"/>
    <w:rsid w:val="001333BD"/>
    <w:rsid w:val="001B0EEF"/>
    <w:rsid w:val="001B6569"/>
    <w:rsid w:val="001D4915"/>
    <w:rsid w:val="0021367A"/>
    <w:rsid w:val="00226A80"/>
    <w:rsid w:val="00280BA4"/>
    <w:rsid w:val="002877FC"/>
    <w:rsid w:val="002B3CC5"/>
    <w:rsid w:val="002D146B"/>
    <w:rsid w:val="002D1FAC"/>
    <w:rsid w:val="002F3F4B"/>
    <w:rsid w:val="002F7972"/>
    <w:rsid w:val="00356756"/>
    <w:rsid w:val="0039058F"/>
    <w:rsid w:val="0039387A"/>
    <w:rsid w:val="003C0CD8"/>
    <w:rsid w:val="003D37FF"/>
    <w:rsid w:val="003D3979"/>
    <w:rsid w:val="0040617D"/>
    <w:rsid w:val="004B7073"/>
    <w:rsid w:val="004E75D2"/>
    <w:rsid w:val="00500904"/>
    <w:rsid w:val="00526748"/>
    <w:rsid w:val="0053105E"/>
    <w:rsid w:val="00556C49"/>
    <w:rsid w:val="00561714"/>
    <w:rsid w:val="005914DF"/>
    <w:rsid w:val="005A5CAA"/>
    <w:rsid w:val="005B7258"/>
    <w:rsid w:val="005D1692"/>
    <w:rsid w:val="005D61E0"/>
    <w:rsid w:val="005E25BD"/>
    <w:rsid w:val="00635B25"/>
    <w:rsid w:val="006529E0"/>
    <w:rsid w:val="00667FA5"/>
    <w:rsid w:val="00691085"/>
    <w:rsid w:val="006A5C77"/>
    <w:rsid w:val="006B0B5C"/>
    <w:rsid w:val="006B1B26"/>
    <w:rsid w:val="006C5C0D"/>
    <w:rsid w:val="006D0A7D"/>
    <w:rsid w:val="006E06CB"/>
    <w:rsid w:val="006E30DE"/>
    <w:rsid w:val="006F1502"/>
    <w:rsid w:val="00721AF4"/>
    <w:rsid w:val="00726ED1"/>
    <w:rsid w:val="00737D38"/>
    <w:rsid w:val="007405C7"/>
    <w:rsid w:val="0076314F"/>
    <w:rsid w:val="00766F13"/>
    <w:rsid w:val="007A1E76"/>
    <w:rsid w:val="007C1996"/>
    <w:rsid w:val="007E2974"/>
    <w:rsid w:val="00815D19"/>
    <w:rsid w:val="008256CA"/>
    <w:rsid w:val="00832697"/>
    <w:rsid w:val="00835FA1"/>
    <w:rsid w:val="008378D8"/>
    <w:rsid w:val="00851899"/>
    <w:rsid w:val="00870845"/>
    <w:rsid w:val="00872AC7"/>
    <w:rsid w:val="008A6E03"/>
    <w:rsid w:val="008A7683"/>
    <w:rsid w:val="008B22C7"/>
    <w:rsid w:val="008D703C"/>
    <w:rsid w:val="008F203D"/>
    <w:rsid w:val="008F26D5"/>
    <w:rsid w:val="00902E77"/>
    <w:rsid w:val="0090412C"/>
    <w:rsid w:val="00915088"/>
    <w:rsid w:val="009255D0"/>
    <w:rsid w:val="00954F7D"/>
    <w:rsid w:val="00972E5B"/>
    <w:rsid w:val="00977989"/>
    <w:rsid w:val="00980FF0"/>
    <w:rsid w:val="0099132B"/>
    <w:rsid w:val="00992A96"/>
    <w:rsid w:val="00992DF2"/>
    <w:rsid w:val="009C3229"/>
    <w:rsid w:val="009C3230"/>
    <w:rsid w:val="009C7787"/>
    <w:rsid w:val="00A25234"/>
    <w:rsid w:val="00A45832"/>
    <w:rsid w:val="00A4765C"/>
    <w:rsid w:val="00A83B60"/>
    <w:rsid w:val="00A94EBB"/>
    <w:rsid w:val="00AB49E4"/>
    <w:rsid w:val="00AE31F5"/>
    <w:rsid w:val="00AF1FB6"/>
    <w:rsid w:val="00AF6BB7"/>
    <w:rsid w:val="00AF738F"/>
    <w:rsid w:val="00B311A7"/>
    <w:rsid w:val="00B36D24"/>
    <w:rsid w:val="00B47A3D"/>
    <w:rsid w:val="00B47C30"/>
    <w:rsid w:val="00B64C9D"/>
    <w:rsid w:val="00BA041A"/>
    <w:rsid w:val="00BB75D4"/>
    <w:rsid w:val="00BF173E"/>
    <w:rsid w:val="00C42A93"/>
    <w:rsid w:val="00C767D3"/>
    <w:rsid w:val="00C92BB0"/>
    <w:rsid w:val="00CB4765"/>
    <w:rsid w:val="00CC75A3"/>
    <w:rsid w:val="00D20B9A"/>
    <w:rsid w:val="00D267B5"/>
    <w:rsid w:val="00D26E35"/>
    <w:rsid w:val="00D420A6"/>
    <w:rsid w:val="00D63944"/>
    <w:rsid w:val="00D7231F"/>
    <w:rsid w:val="00DC4C92"/>
    <w:rsid w:val="00E003BA"/>
    <w:rsid w:val="00E22684"/>
    <w:rsid w:val="00E50182"/>
    <w:rsid w:val="00E55EFC"/>
    <w:rsid w:val="00E6402B"/>
    <w:rsid w:val="00E709FD"/>
    <w:rsid w:val="00E946E2"/>
    <w:rsid w:val="00E95821"/>
    <w:rsid w:val="00E959F8"/>
    <w:rsid w:val="00EA4DAE"/>
    <w:rsid w:val="00EA7547"/>
    <w:rsid w:val="00ED57A9"/>
    <w:rsid w:val="00EE0F37"/>
    <w:rsid w:val="00EF0210"/>
    <w:rsid w:val="00F043AF"/>
    <w:rsid w:val="00F07D3E"/>
    <w:rsid w:val="00F21E57"/>
    <w:rsid w:val="00F2344B"/>
    <w:rsid w:val="00F25DD5"/>
    <w:rsid w:val="00F42C0C"/>
    <w:rsid w:val="00F8022F"/>
    <w:rsid w:val="00FB18CB"/>
    <w:rsid w:val="00FC796E"/>
    <w:rsid w:val="00FD2500"/>
    <w:rsid w:val="2FF82F5C"/>
    <w:rsid w:val="5FAE2FCA"/>
    <w:rsid w:val="63BE9721"/>
    <w:rsid w:val="676B78D9"/>
    <w:rsid w:val="6FF716C0"/>
    <w:rsid w:val="797FA7FC"/>
    <w:rsid w:val="7E4FB792"/>
    <w:rsid w:val="B56F9262"/>
    <w:rsid w:val="BACD79AC"/>
    <w:rsid w:val="BFF1C60A"/>
    <w:rsid w:val="CB2C1AB9"/>
    <w:rsid w:val="DFFFAD96"/>
    <w:rsid w:val="E8D728FB"/>
    <w:rsid w:val="EB609AEA"/>
    <w:rsid w:val="EDF5EA82"/>
    <w:rsid w:val="FF284341"/>
    <w:rsid w:val="FFB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批注文字 字符"/>
    <w:basedOn w:val="10"/>
    <w:link w:val="3"/>
    <w:semiHidden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paragraph" w:customStyle="1" w:styleId="17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text-only"/>
    <w:basedOn w:val="10"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429A5379-BA8E-4D95-A1C5-B7A266F76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1186</Characters>
  <Lines>1</Lines>
  <Paragraphs>1</Paragraphs>
  <TotalTime>0</TotalTime>
  <ScaleCrop>false</ScaleCrop>
  <LinksUpToDate>false</LinksUpToDate>
  <CharactersWithSpaces>1391</CharactersWithSpaces>
  <Application>WPS Office WWO_feishu_20230531100529-62b4f7f279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2023-06-13T14:02:00Z</dcterms:created>
  <dc:creator>姚铁龙</dc:creator>
  <cp:lastModifiedBy>已来 未来</cp:lastModifiedBy>
  <dcterms:modified xsi:type="dcterms:W3CDTF">2024-11-01T16:30:12Z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