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证券代码：</w:t>
      </w:r>
      <w:r>
        <w:rPr>
          <w:rFonts w:hint="eastAsia" w:ascii="宋体" w:hAnsi="宋体" w:eastAsia="宋体"/>
          <w:sz w:val="24"/>
          <w:szCs w:val="24"/>
        </w:rPr>
        <w:t>600887</w:t>
      </w:r>
      <w:r>
        <w:rPr>
          <w:rFonts w:ascii="宋体" w:hAnsi="宋体" w:eastAsia="宋体"/>
          <w:sz w:val="24"/>
          <w:szCs w:val="24"/>
        </w:rPr>
        <w:t xml:space="preserve"> </w:t>
      </w:r>
      <w:r>
        <w:rPr>
          <w:rFonts w:hint="eastAsia" w:ascii="宋体" w:hAnsi="宋体" w:eastAsia="宋体"/>
          <w:sz w:val="24"/>
          <w:szCs w:val="24"/>
        </w:rPr>
        <w:t xml:space="preserve">                             </w:t>
      </w:r>
      <w:r>
        <w:rPr>
          <w:rFonts w:ascii="宋体" w:hAnsi="宋体" w:eastAsia="宋体"/>
          <w:sz w:val="24"/>
          <w:szCs w:val="24"/>
        </w:rPr>
        <w:t xml:space="preserve">     证券简称：</w:t>
      </w:r>
      <w:r>
        <w:rPr>
          <w:rFonts w:hint="eastAsia" w:ascii="宋体" w:hAnsi="宋体" w:eastAsia="宋体"/>
          <w:sz w:val="24"/>
          <w:szCs w:val="24"/>
        </w:rPr>
        <w:t>伊利股份</w:t>
      </w:r>
    </w:p>
    <w:p>
      <w:pPr>
        <w:spacing w:line="360" w:lineRule="auto"/>
        <w:jc w:val="center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内蒙古伊利实业集团股份有限公司</w:t>
      </w:r>
    </w:p>
    <w:p>
      <w:pPr>
        <w:spacing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投资者关系活动记录表</w:t>
      </w:r>
    </w:p>
    <w:p>
      <w:pPr>
        <w:spacing w:line="360" w:lineRule="auto"/>
        <w:ind w:right="1200"/>
        <w:jc w:val="right"/>
        <w:rPr>
          <w:rFonts w:hint="default"/>
          <w:sz w:val="24"/>
          <w:szCs w:val="24"/>
          <w:lang w:val="en-US"/>
        </w:rPr>
      </w:pPr>
      <w:r>
        <w:rPr>
          <w:rFonts w:hint="eastAsia"/>
          <w:sz w:val="24"/>
          <w:szCs w:val="24"/>
        </w:rPr>
        <w:t>编号：202</w:t>
      </w:r>
      <w:r>
        <w:rPr>
          <w:rFonts w:hint="eastAsia"/>
          <w:sz w:val="24"/>
          <w:szCs w:val="24"/>
          <w:lang w:val="en-US" w:eastAsia="zh-CN"/>
        </w:rPr>
        <w:t>41031</w:t>
      </w:r>
    </w:p>
    <w:tbl>
      <w:tblPr>
        <w:tblStyle w:val="9"/>
        <w:tblW w:w="848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5"/>
        <w:gridCol w:w="67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0" w:hRule="atLeast"/>
          <w:jc w:val="center"/>
        </w:trPr>
        <w:tc>
          <w:tcPr>
            <w:tcW w:w="169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Liberation Serif" w:hAnsi="Liberation Serif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Liberation Serif" w:hAnsi="Liberation Serif" w:eastAsia="宋体" w:cs="Arial"/>
                <w:kern w:val="0"/>
                <w:sz w:val="24"/>
                <w:szCs w:val="24"/>
              </w:rPr>
              <w:t>投资者关系</w:t>
            </w:r>
          </w:p>
          <w:p>
            <w:pPr>
              <w:spacing w:line="360" w:lineRule="auto"/>
              <w:jc w:val="center"/>
              <w:rPr>
                <w:rFonts w:hint="eastAsia" w:ascii="Liberation Serif" w:hAnsi="Liberation Serif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Liberation Serif" w:hAnsi="Liberation Serif" w:eastAsia="宋体" w:cs="Arial"/>
                <w:kern w:val="0"/>
                <w:sz w:val="24"/>
                <w:szCs w:val="24"/>
              </w:rPr>
              <w:t>活动类别</w:t>
            </w:r>
          </w:p>
        </w:tc>
        <w:tc>
          <w:tcPr>
            <w:tcW w:w="6793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Liberation Serif" w:hAnsi="Liberation Serif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Liberation Serif" w:hAnsi="Liberation Serif" w:eastAsia="宋体" w:cs="Arial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Liberation Serif" w:hAnsi="Liberation Serif" w:eastAsia="宋体" w:cs="Arial"/>
                <w:kern w:val="0"/>
                <w:sz w:val="24"/>
                <w:szCs w:val="24"/>
              </w:rPr>
              <w:t xml:space="preserve">特定对象调研      </w:t>
            </w:r>
            <w:r>
              <w:rPr>
                <w:rFonts w:ascii="Liberation Serif" w:hAnsi="Liberation Serif" w:eastAsia="宋体" w:cs="Arial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Liberation Serif" w:hAnsi="Liberation Serif" w:eastAsia="宋体" w:cs="Arial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Liberation Serif" w:hAnsi="Liberation Serif" w:eastAsia="宋体" w:cs="Arial"/>
                <w:kern w:val="0"/>
                <w:sz w:val="24"/>
                <w:szCs w:val="24"/>
              </w:rPr>
              <w:t>分析师会议</w:t>
            </w:r>
          </w:p>
          <w:p>
            <w:pPr>
              <w:spacing w:line="360" w:lineRule="auto"/>
              <w:jc w:val="left"/>
              <w:rPr>
                <w:rFonts w:hint="eastAsia" w:ascii="Liberation Serif" w:hAnsi="Liberation Serif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Liberation Serif" w:hAnsi="Liberation Serif" w:eastAsia="宋体" w:cs="Arial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Liberation Serif" w:hAnsi="Liberation Serif" w:eastAsia="宋体" w:cs="Arial"/>
                <w:kern w:val="0"/>
                <w:sz w:val="24"/>
                <w:szCs w:val="24"/>
              </w:rPr>
              <w:t xml:space="preserve">媒体采访        </w:t>
            </w:r>
            <w:r>
              <w:rPr>
                <w:rFonts w:ascii="Liberation Serif" w:hAnsi="Liberation Serif" w:eastAsia="宋体" w:cs="Arial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Liberation Serif" w:hAnsi="Liberation Serif" w:eastAsia="宋体" w:cs="Arial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Liberation Serif" w:hAnsi="Liberation Serif" w:eastAsia="宋体" w:cs="Arial"/>
                <w:kern w:val="0"/>
                <w:sz w:val="24"/>
                <w:szCs w:val="24"/>
              </w:rPr>
              <w:sym w:font="Wingdings 2" w:char="0052"/>
            </w:r>
            <w:r>
              <w:rPr>
                <w:rFonts w:hint="eastAsia" w:ascii="Liberation Serif" w:hAnsi="Liberation Serif" w:eastAsia="宋体" w:cs="Arial"/>
                <w:kern w:val="0"/>
                <w:sz w:val="24"/>
                <w:szCs w:val="24"/>
              </w:rPr>
              <w:t>业绩说明会</w:t>
            </w:r>
          </w:p>
          <w:p>
            <w:pPr>
              <w:spacing w:line="360" w:lineRule="auto"/>
              <w:jc w:val="left"/>
              <w:rPr>
                <w:rFonts w:hint="eastAsia" w:ascii="Liberation Serif" w:hAnsi="Liberation Serif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Liberation Serif" w:hAnsi="Liberation Serif" w:eastAsia="宋体" w:cs="Arial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Liberation Serif" w:hAnsi="Liberation Serif" w:eastAsia="宋体" w:cs="Arial"/>
                <w:kern w:val="0"/>
                <w:sz w:val="24"/>
                <w:szCs w:val="24"/>
              </w:rPr>
              <w:t xml:space="preserve">新闻发布会     </w:t>
            </w:r>
            <w:r>
              <w:rPr>
                <w:rFonts w:ascii="Liberation Serif" w:hAnsi="Liberation Serif" w:eastAsia="宋体" w:cs="Arial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Liberation Serif" w:hAnsi="Liberation Serif" w:eastAsia="宋体" w:cs="Arial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Liberation Serif" w:hAnsi="Liberation Serif" w:eastAsia="宋体" w:cs="Arial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Liberation Serif" w:hAnsi="Liberation Serif" w:eastAsia="宋体" w:cs="Arial"/>
                <w:kern w:val="0"/>
                <w:sz w:val="24"/>
                <w:szCs w:val="24"/>
              </w:rPr>
              <w:t>路演活动</w:t>
            </w:r>
          </w:p>
          <w:p>
            <w:pPr>
              <w:spacing w:line="360" w:lineRule="auto"/>
              <w:jc w:val="left"/>
              <w:rPr>
                <w:rFonts w:hint="eastAsia" w:ascii="Liberation Serif" w:hAnsi="Liberation Serif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Liberation Serif" w:hAnsi="Liberation Serif" w:eastAsia="宋体" w:cs="Arial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Liberation Serif" w:hAnsi="Liberation Serif" w:eastAsia="宋体" w:cs="Arial"/>
                <w:kern w:val="0"/>
                <w:sz w:val="24"/>
                <w:szCs w:val="24"/>
              </w:rPr>
              <w:t xml:space="preserve">现场参观 </w:t>
            </w:r>
            <w:r>
              <w:rPr>
                <w:rFonts w:ascii="Liberation Serif" w:hAnsi="Liberation Serif" w:eastAsia="宋体" w:cs="Arial"/>
                <w:kern w:val="0"/>
                <w:sz w:val="24"/>
                <w:szCs w:val="24"/>
              </w:rPr>
              <w:t xml:space="preserve">          </w:t>
            </w:r>
            <w:r>
              <w:rPr>
                <w:rFonts w:hint="eastAsia" w:ascii="Liberation Serif" w:hAnsi="Liberation Serif" w:eastAsia="宋体" w:cs="Arial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Liberation Serif" w:hAnsi="Liberation Serif" w:eastAsia="宋体" w:cs="Arial"/>
                <w:kern w:val="0"/>
                <w:sz w:val="24"/>
                <w:szCs w:val="24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7" w:hRule="atLeast"/>
          <w:jc w:val="center"/>
        </w:trPr>
        <w:tc>
          <w:tcPr>
            <w:tcW w:w="169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Liberation Serif" w:hAnsi="Liberation Serif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Liberation Serif" w:hAnsi="Liberation Serif" w:eastAsia="宋体" w:cs="Arial"/>
                <w:kern w:val="0"/>
                <w:sz w:val="24"/>
                <w:szCs w:val="24"/>
              </w:rPr>
              <w:t>参与单位名称及人员姓名</w:t>
            </w:r>
          </w:p>
        </w:tc>
        <w:tc>
          <w:tcPr>
            <w:tcW w:w="6793" w:type="dxa"/>
            <w:vAlign w:val="center"/>
          </w:tcPr>
          <w:p>
            <w:pPr>
              <w:spacing w:line="360" w:lineRule="auto"/>
              <w:jc w:val="left"/>
              <w:rPr>
                <w:rFonts w:cs="Arial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/>
                <w:kern w:val="0"/>
                <w:sz w:val="24"/>
                <w:szCs w:val="24"/>
              </w:rPr>
              <w:t>参与伊利股份202</w:t>
            </w:r>
            <w:r>
              <w:rPr>
                <w:rFonts w:hint="eastAsia" w:cs="Arial" w:asciiTheme="minorEastAsia" w:hAnsiTheme="minorEastAsia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cs="Arial" w:asciiTheme="minorEastAsia" w:hAnsiTheme="minorEastAsia"/>
                <w:kern w:val="0"/>
                <w:sz w:val="24"/>
                <w:szCs w:val="24"/>
              </w:rPr>
              <w:t>年第三季度业绩说明会的广大投资者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69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Liberation Serif" w:hAnsi="Liberation Serif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Liberation Serif" w:hAnsi="Liberation Serif" w:eastAsia="宋体" w:cs="Arial"/>
                <w:kern w:val="0"/>
                <w:sz w:val="24"/>
                <w:szCs w:val="24"/>
              </w:rPr>
              <w:t xml:space="preserve">时 </w:t>
            </w:r>
            <w:r>
              <w:rPr>
                <w:rFonts w:ascii="Liberation Serif" w:hAnsi="Liberation Serif" w:eastAsia="宋体" w:cs="Arial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Liberation Serif" w:hAnsi="Liberation Serif" w:eastAsia="宋体" w:cs="Arial"/>
                <w:kern w:val="0"/>
                <w:sz w:val="24"/>
                <w:szCs w:val="24"/>
              </w:rPr>
              <w:t>间</w:t>
            </w:r>
          </w:p>
        </w:tc>
        <w:tc>
          <w:tcPr>
            <w:tcW w:w="6793" w:type="dxa"/>
            <w:vAlign w:val="center"/>
          </w:tcPr>
          <w:p>
            <w:pPr>
              <w:spacing w:line="360" w:lineRule="auto"/>
              <w:jc w:val="left"/>
              <w:rPr>
                <w:rFonts w:cs="Arial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/>
                <w:kern w:val="0"/>
                <w:sz w:val="24"/>
                <w:szCs w:val="24"/>
              </w:rPr>
              <w:t>202</w:t>
            </w:r>
            <w:r>
              <w:rPr>
                <w:rFonts w:hint="eastAsia" w:cs="Arial" w:asciiTheme="minorEastAsia" w:hAnsiTheme="minorEastAsia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cs="Arial" w:asciiTheme="minorEastAsia" w:hAnsiTheme="minorEastAsia"/>
                <w:kern w:val="0"/>
                <w:sz w:val="24"/>
                <w:szCs w:val="24"/>
              </w:rPr>
              <w:t>年</w:t>
            </w:r>
            <w:r>
              <w:rPr>
                <w:rFonts w:hint="eastAsia" w:cs="Arial" w:asciiTheme="minorEastAsia" w:hAnsiTheme="minorEastAsia"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cs="Arial" w:asciiTheme="minorEastAsia" w:hAnsiTheme="minorEastAsia"/>
                <w:kern w:val="0"/>
                <w:sz w:val="24"/>
                <w:szCs w:val="24"/>
              </w:rPr>
              <w:t>月</w:t>
            </w:r>
            <w:r>
              <w:rPr>
                <w:rFonts w:hint="eastAsia" w:cs="Arial" w:asciiTheme="minorEastAsia" w:hAnsiTheme="minorEastAsia"/>
                <w:kern w:val="0"/>
                <w:sz w:val="24"/>
                <w:szCs w:val="24"/>
                <w:lang w:val="en-US" w:eastAsia="zh-CN"/>
              </w:rPr>
              <w:t>31</w:t>
            </w:r>
            <w:r>
              <w:rPr>
                <w:rFonts w:hint="eastAsia" w:cs="Arial" w:asciiTheme="minorEastAsia" w:hAnsiTheme="minorEastAsia"/>
                <w:kern w:val="0"/>
                <w:sz w:val="24"/>
                <w:szCs w:val="24"/>
              </w:rPr>
              <w:t>日上午</w:t>
            </w:r>
            <w:r>
              <w:rPr>
                <w:rFonts w:cs="Arial" w:asciiTheme="minorEastAsia" w:hAnsiTheme="minorEastAsia"/>
                <w:kern w:val="0"/>
                <w:sz w:val="24"/>
                <w:szCs w:val="24"/>
              </w:rPr>
              <w:t>9</w:t>
            </w:r>
            <w:r>
              <w:rPr>
                <w:rFonts w:hint="eastAsia" w:cs="Arial" w:asciiTheme="minorEastAsia" w:hAnsiTheme="minorEastAsia"/>
                <w:kern w:val="0"/>
                <w:sz w:val="24"/>
                <w:szCs w:val="24"/>
              </w:rPr>
              <w:t>:</w:t>
            </w:r>
            <w:r>
              <w:rPr>
                <w:rFonts w:cs="Arial" w:asciiTheme="minorEastAsia" w:hAnsiTheme="minorEastAsia"/>
                <w:kern w:val="0"/>
                <w:sz w:val="24"/>
                <w:szCs w:val="24"/>
              </w:rPr>
              <w:t>0</w:t>
            </w:r>
            <w:r>
              <w:rPr>
                <w:rFonts w:hint="eastAsia" w:cs="Arial" w:asciiTheme="minorEastAsia" w:hAnsiTheme="minorEastAsia"/>
                <w:kern w:val="0"/>
                <w:sz w:val="24"/>
                <w:szCs w:val="24"/>
              </w:rPr>
              <w:t>0-10:30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69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Liberation Serif" w:hAnsi="Liberation Serif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Liberation Serif" w:hAnsi="Liberation Serif" w:eastAsia="宋体" w:cs="Arial"/>
                <w:kern w:val="0"/>
                <w:sz w:val="24"/>
                <w:szCs w:val="24"/>
              </w:rPr>
              <w:t xml:space="preserve">地 </w:t>
            </w:r>
            <w:r>
              <w:rPr>
                <w:rFonts w:ascii="Liberation Serif" w:hAnsi="Liberation Serif" w:eastAsia="宋体" w:cs="Arial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Liberation Serif" w:hAnsi="Liberation Serif" w:eastAsia="宋体" w:cs="Arial"/>
                <w:kern w:val="0"/>
                <w:sz w:val="24"/>
                <w:szCs w:val="24"/>
              </w:rPr>
              <w:t>点</w:t>
            </w:r>
          </w:p>
        </w:tc>
        <w:tc>
          <w:tcPr>
            <w:tcW w:w="6793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Liberation Serif" w:hAnsi="Liberation Serif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Liberation Serif" w:hAnsi="Liberation Serif" w:eastAsia="宋体" w:cs="Arial"/>
                <w:kern w:val="0"/>
                <w:sz w:val="24"/>
                <w:szCs w:val="24"/>
              </w:rPr>
              <w:t>电话会议及网络音频直播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  <w:jc w:val="center"/>
        </w:trPr>
        <w:tc>
          <w:tcPr>
            <w:tcW w:w="169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Liberation Serif" w:hAnsi="Liberation Serif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Liberation Serif" w:hAnsi="Liberation Serif" w:eastAsia="宋体" w:cs="Arial"/>
                <w:kern w:val="0"/>
                <w:sz w:val="24"/>
                <w:szCs w:val="24"/>
              </w:rPr>
              <w:t>公司接待</w:t>
            </w:r>
          </w:p>
          <w:p>
            <w:pPr>
              <w:spacing w:line="360" w:lineRule="auto"/>
              <w:jc w:val="center"/>
              <w:rPr>
                <w:rFonts w:hint="eastAsia" w:ascii="Liberation Serif" w:hAnsi="Liberation Serif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Liberation Serif" w:hAnsi="Liberation Serif" w:eastAsia="宋体" w:cs="Arial"/>
                <w:kern w:val="0"/>
                <w:sz w:val="24"/>
                <w:szCs w:val="24"/>
              </w:rPr>
              <w:t>人员姓名</w:t>
            </w:r>
          </w:p>
        </w:tc>
        <w:tc>
          <w:tcPr>
            <w:tcW w:w="6793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Liberation Serif" w:hAnsi="Liberation Serif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Liberation Serif" w:hAnsi="Liberation Serif" w:eastAsia="宋体" w:cs="Arial"/>
                <w:kern w:val="0"/>
                <w:sz w:val="24"/>
                <w:szCs w:val="24"/>
              </w:rPr>
              <w:t>公司董事会秘书邱向敏先生、独立董事纪韶女士、投资者关系部总经理赵琳女士等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3" w:hRule="atLeast"/>
          <w:jc w:val="center"/>
        </w:trPr>
        <w:tc>
          <w:tcPr>
            <w:tcW w:w="169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Liberation Serif" w:hAnsi="Liberation Serif" w:eastAsia="宋体" w:cs="Arial"/>
                <w:kern w:val="0"/>
                <w:sz w:val="24"/>
                <w:szCs w:val="24"/>
              </w:rPr>
            </w:pPr>
            <w:bookmarkStart w:id="0" w:name="_GoBack"/>
            <w:r>
              <w:rPr>
                <w:rFonts w:hint="eastAsia" w:ascii="Liberation Serif" w:hAnsi="Liberation Serif" w:eastAsia="宋体" w:cs="Arial"/>
                <w:kern w:val="0"/>
                <w:sz w:val="24"/>
                <w:szCs w:val="24"/>
              </w:rPr>
              <w:t>投资者关系 活动主要内容</w:t>
            </w:r>
          </w:p>
        </w:tc>
        <w:tc>
          <w:tcPr>
            <w:tcW w:w="6793" w:type="dxa"/>
          </w:tcPr>
          <w:p>
            <w:pPr>
              <w:widowControl/>
              <w:shd w:val="clear" w:color="auto" w:fill="FFFFFF"/>
              <w:spacing w:line="360" w:lineRule="auto"/>
              <w:ind w:firstLine="33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一、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公司</w:t>
            </w:r>
            <w:r>
              <w:rPr>
                <w:rFonts w:hint="eastAsia" w:ascii="Liberation Serif" w:hAnsi="Liberation Serif" w:eastAsia="宋体" w:cs="Arial"/>
                <w:kern w:val="0"/>
                <w:sz w:val="24"/>
                <w:szCs w:val="24"/>
              </w:rPr>
              <w:t>投资者关系部总经理赵琳女士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对伊利股份202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年</w:t>
            </w:r>
            <w:r>
              <w:rPr>
                <w:rFonts w:hint="eastAsia" w:cs="Arial" w:asciiTheme="minorEastAsia" w:hAnsiTheme="minorEastAsia"/>
                <w:kern w:val="0"/>
                <w:sz w:val="24"/>
                <w:szCs w:val="24"/>
              </w:rPr>
              <w:t>第三季度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的经营情况和财务表现进行了解读；公司管理层就投资者主要关注的问题与参会者进行了互动交流，互动环节主要内容如下。</w:t>
            </w:r>
          </w:p>
          <w:p>
            <w:pPr>
              <w:pStyle w:val="1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ind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与投资者互动交流环节</w:t>
            </w:r>
          </w:p>
          <w:p>
            <w:pPr>
              <w:pStyle w:val="2"/>
              <w:numPr>
                <w:ilvl w:val="0"/>
                <w:numId w:val="2"/>
              </w:numPr>
              <w:spacing w:line="360" w:lineRule="auto"/>
              <w:ind w:firstLineChars="0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  <w:t>当前，</w:t>
            </w:r>
            <w:r>
              <w:rPr>
                <w:rFonts w:hint="default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  <w:t>需求</w:t>
            </w: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  <w:t>还在持续恢复的过程中</w:t>
            </w:r>
            <w:r>
              <w:rPr>
                <w:rFonts w:hint="default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  <w:t>，</w:t>
            </w:r>
            <w:r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  <w:t>公司对未来业绩如何展望？</w:t>
            </w:r>
          </w:p>
          <w:p>
            <w:pPr>
              <w:pStyle w:val="2"/>
              <w:numPr>
                <w:ilvl w:val="0"/>
                <w:numId w:val="0"/>
              </w:numPr>
              <w:spacing w:line="360" w:lineRule="auto"/>
              <w:ind w:leftChars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回答：</w:t>
            </w:r>
          </w:p>
          <w:p>
            <w:pPr>
              <w:pStyle w:val="2"/>
              <w:numPr>
                <w:ilvl w:val="0"/>
                <w:numId w:val="3"/>
              </w:numPr>
              <w:spacing w:line="360" w:lineRule="auto"/>
              <w:ind w:firstLineChars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今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/>
                <w:sz w:val="24"/>
                <w:szCs w:val="24"/>
              </w:rPr>
              <w:t>三季度，受益于原奶成本的下降和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对于</w:t>
            </w:r>
            <w:r>
              <w:rPr>
                <w:rFonts w:hint="eastAsia"/>
                <w:sz w:val="24"/>
                <w:szCs w:val="24"/>
              </w:rPr>
              <w:t>费用的管控，公司利润率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实现了</w:t>
            </w:r>
            <w:r>
              <w:rPr>
                <w:rFonts w:hint="eastAsia"/>
                <w:sz w:val="24"/>
                <w:szCs w:val="24"/>
              </w:rPr>
              <w:t>较好恢复。随着液奶渠道库存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调整的</w:t>
            </w:r>
            <w:r>
              <w:rPr>
                <w:rFonts w:hint="eastAsia"/>
                <w:sz w:val="24"/>
                <w:szCs w:val="24"/>
              </w:rPr>
              <w:t>结束，四季度液奶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业务将会</w:t>
            </w:r>
            <w:r>
              <w:rPr>
                <w:rFonts w:hint="eastAsia"/>
                <w:sz w:val="24"/>
                <w:szCs w:val="24"/>
              </w:rPr>
              <w:t>轻装上阵，奶粉等业务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也在</w:t>
            </w:r>
            <w:r>
              <w:rPr>
                <w:rFonts w:hint="eastAsia"/>
                <w:sz w:val="24"/>
                <w:szCs w:val="24"/>
              </w:rPr>
              <w:t>持续向好，预计四季度公司整体收入会继续呈现环比改善的趋势。</w:t>
            </w:r>
          </w:p>
          <w:p>
            <w:pPr>
              <w:pStyle w:val="2"/>
              <w:numPr>
                <w:ilvl w:val="0"/>
                <w:numId w:val="3"/>
              </w:numPr>
              <w:spacing w:line="360" w:lineRule="auto"/>
              <w:ind w:firstLineChars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展望明年，从收入端来看，今年春节后公司</w:t>
            </w:r>
            <w:r>
              <w:rPr>
                <w:rFonts w:hint="eastAsia"/>
                <w:sz w:val="24"/>
                <w:szCs w:val="24"/>
              </w:rPr>
              <w:t>主动率先在液奶业务上进行</w:t>
            </w:r>
            <w:r>
              <w:rPr>
                <w:rFonts w:hint="eastAsia"/>
                <w:sz w:val="24"/>
                <w:szCs w:val="24"/>
                <w:lang w:eastAsia="zh-CN"/>
              </w:rPr>
              <w:t>的</w:t>
            </w:r>
            <w:r>
              <w:rPr>
                <w:rFonts w:hint="eastAsia"/>
                <w:sz w:val="24"/>
                <w:szCs w:val="24"/>
              </w:rPr>
              <w:t>渠道调整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eastAsia"/>
                <w:sz w:val="24"/>
                <w:szCs w:val="24"/>
              </w:rPr>
              <w:t>为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/>
                <w:sz w:val="24"/>
                <w:szCs w:val="24"/>
              </w:rPr>
              <w:t>25年更好的业务恢复打下了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良好的</w:t>
            </w:r>
            <w:r>
              <w:rPr>
                <w:rFonts w:hint="eastAsia"/>
                <w:sz w:val="24"/>
                <w:szCs w:val="24"/>
              </w:rPr>
              <w:t>基础。最近，国家也密集出台了一系列提振宏观经济的政策，从地方化债、到稳地产、到促消费</w:t>
            </w:r>
            <w:r>
              <w:rPr>
                <w:rFonts w:hint="eastAsia"/>
                <w:sz w:val="24"/>
                <w:szCs w:val="24"/>
                <w:lang w:eastAsia="zh-CN"/>
              </w:rPr>
              <w:t>。</w:t>
            </w:r>
            <w:r>
              <w:rPr>
                <w:rFonts w:hint="eastAsia"/>
                <w:sz w:val="24"/>
                <w:szCs w:val="24"/>
              </w:rPr>
              <w:t>随着这些政策的逐步落地，经济基本面向好的方向和趋势不变。随着居民消费信心的逐步恢复，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公司</w:t>
            </w:r>
            <w:r>
              <w:rPr>
                <w:rFonts w:hint="eastAsia"/>
                <w:sz w:val="24"/>
                <w:szCs w:val="24"/>
              </w:rPr>
              <w:t>的业务也在逐步恢复到正常的发展状态。后续，我们会继续在保证业务健康的前提下，积极推进液奶业务的发展，并夯实奶粉业务的竞争优势，提高奶酪业务创新能力，聚焦低温的核心产品，继续培养居民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饮奶</w:t>
            </w:r>
            <w:r>
              <w:rPr>
                <w:rFonts w:hint="eastAsia"/>
                <w:sz w:val="24"/>
                <w:szCs w:val="24"/>
              </w:rPr>
              <w:t>消费习惯，完善并强化公司多业务均衡发展的能力，不断提升公司的综合竞争能力。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/>
                <w:sz w:val="24"/>
                <w:szCs w:val="24"/>
              </w:rPr>
              <w:t>25年，随着经济基本面和居民信心的逐步恢复，希望明年公司收入能比今年有更好的表现。</w:t>
            </w:r>
          </w:p>
          <w:p>
            <w:pPr>
              <w:pStyle w:val="2"/>
              <w:numPr>
                <w:ilvl w:val="0"/>
                <w:numId w:val="3"/>
              </w:numPr>
              <w:spacing w:line="360" w:lineRule="auto"/>
              <w:ind w:firstLineChars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利润端，明年随着原奶供需向好，行业竞争会更加理性，健康的渠道水平也更有利于公司业务的恢复。此外，在费用方面，公司明年会继续提升费用的使用效率，随着整体收入端</w:t>
            </w:r>
            <w:r>
              <w:rPr>
                <w:rFonts w:hint="eastAsia"/>
                <w:sz w:val="24"/>
                <w:szCs w:val="24"/>
                <w:lang w:eastAsia="zh-CN"/>
              </w:rPr>
              <w:t>的</w:t>
            </w:r>
            <w:r>
              <w:rPr>
                <w:rFonts w:hint="eastAsia"/>
                <w:sz w:val="24"/>
                <w:szCs w:val="24"/>
              </w:rPr>
              <w:t>回暖，规模效应也会更明显。</w:t>
            </w:r>
          </w:p>
          <w:p>
            <w:pPr>
              <w:pStyle w:val="2"/>
              <w:numPr>
                <w:ilvl w:val="0"/>
                <w:numId w:val="2"/>
              </w:numPr>
              <w:spacing w:line="360" w:lineRule="auto"/>
              <w:ind w:firstLineChars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如何对</w:t>
            </w:r>
            <w:r>
              <w:rPr>
                <w:rFonts w:hint="eastAsia"/>
                <w:sz w:val="24"/>
                <w:szCs w:val="24"/>
              </w:rPr>
              <w:t>原奶周期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进行</w:t>
            </w:r>
            <w:r>
              <w:rPr>
                <w:rFonts w:hint="eastAsia"/>
                <w:sz w:val="24"/>
                <w:szCs w:val="24"/>
              </w:rPr>
              <w:t>展望，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公司预计上游</w:t>
            </w:r>
            <w:r>
              <w:rPr>
                <w:rFonts w:hint="eastAsia"/>
                <w:sz w:val="24"/>
                <w:szCs w:val="24"/>
              </w:rPr>
              <w:t>何时能达到供需平衡？</w:t>
            </w:r>
          </w:p>
          <w:p>
            <w:pPr>
              <w:pStyle w:val="2"/>
              <w:numPr>
                <w:ilvl w:val="0"/>
                <w:numId w:val="0"/>
              </w:numPr>
              <w:spacing w:line="360" w:lineRule="auto"/>
              <w:ind w:leftChars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回答：</w:t>
            </w:r>
          </w:p>
          <w:p>
            <w:pPr>
              <w:pStyle w:val="2"/>
              <w:numPr>
                <w:ilvl w:val="0"/>
                <w:numId w:val="4"/>
              </w:numPr>
              <w:spacing w:line="360" w:lineRule="auto"/>
              <w:ind w:firstLineChars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今年上半年，上游原奶供给量增速出现放缓的迹象。进入到三季度后，牛群结构进一步优化。牛群数量的减少叠加热应激反应带来的单产降低，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使得</w:t>
            </w:r>
            <w:r>
              <w:rPr>
                <w:rFonts w:hint="eastAsia"/>
                <w:sz w:val="24"/>
                <w:szCs w:val="24"/>
              </w:rPr>
              <w:t>三季度的原奶供给有所降低</w:t>
            </w:r>
            <w:r>
              <w:rPr>
                <w:rFonts w:hint="eastAsia"/>
                <w:sz w:val="24"/>
                <w:szCs w:val="24"/>
                <w:lang w:eastAsia="zh-CN"/>
              </w:rPr>
              <w:t>。</w:t>
            </w:r>
            <w:r>
              <w:rPr>
                <w:rFonts w:hint="eastAsia"/>
                <w:sz w:val="24"/>
                <w:szCs w:val="24"/>
              </w:rPr>
              <w:t>根据国家统计局数据，前三季度原奶产量较去年同期基本持平。同时，三季度也是液奶销售的旺季，因此三季度原奶供需差距有所收窄，公司喷粉量有明显下降，供给过剩的情况阶段性得到缓解。四季度，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预计</w:t>
            </w:r>
            <w:r>
              <w:rPr>
                <w:rFonts w:hint="eastAsia"/>
                <w:sz w:val="24"/>
                <w:szCs w:val="24"/>
              </w:rPr>
              <w:t>产量同比有望保持下降趋势。</w:t>
            </w:r>
          </w:p>
          <w:p>
            <w:pPr>
              <w:pStyle w:val="2"/>
              <w:numPr>
                <w:ilvl w:val="0"/>
                <w:numId w:val="4"/>
              </w:numPr>
              <w:spacing w:line="360" w:lineRule="auto"/>
              <w:ind w:firstLineChars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政府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也</w:t>
            </w:r>
            <w:r>
              <w:rPr>
                <w:rFonts w:hint="eastAsia"/>
                <w:sz w:val="24"/>
                <w:szCs w:val="24"/>
              </w:rPr>
              <w:t>关注到乳制品行业面临的压力及调整，前端时间出台的帮扶政策，从供给端和需求端都提出了一些具体举措。站在全行业的角度，中国原奶的自给率只有70-80%，每年还需要从国外进口大包粉、奶酪等乳制品，国内市场仍有较大的渗透空间。目前上游更多</w:t>
            </w:r>
            <w:r>
              <w:rPr>
                <w:rFonts w:hint="eastAsia"/>
                <w:sz w:val="24"/>
                <w:szCs w:val="24"/>
                <w:lang w:eastAsia="zh-CN"/>
              </w:rPr>
              <w:t>的</w:t>
            </w:r>
            <w:r>
              <w:rPr>
                <w:rFonts w:hint="eastAsia"/>
                <w:sz w:val="24"/>
                <w:szCs w:val="24"/>
              </w:rPr>
              <w:t>是阶段性地优化结构，淘汰一些低产奶牛。除了政府对上游的帮扶之外，更重要的是对下游需求的刺激。政府也计划通过学生奶、发放乳制品消费券等方式，推动需求端的改善。</w:t>
            </w:r>
          </w:p>
          <w:p>
            <w:pPr>
              <w:pStyle w:val="2"/>
              <w:numPr>
                <w:ilvl w:val="0"/>
                <w:numId w:val="4"/>
              </w:numPr>
              <w:spacing w:line="360" w:lineRule="auto"/>
              <w:ind w:firstLineChars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展望明年，上游牧业畜群结构优化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预计</w:t>
            </w:r>
            <w:r>
              <w:rPr>
                <w:rFonts w:hint="eastAsia"/>
                <w:sz w:val="24"/>
                <w:szCs w:val="24"/>
              </w:rPr>
              <w:t>还会持续，原奶供给量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预计</w:t>
            </w:r>
            <w:r>
              <w:rPr>
                <w:rFonts w:hint="eastAsia"/>
                <w:sz w:val="24"/>
                <w:szCs w:val="24"/>
              </w:rPr>
              <w:t>会较今年有所下降，下降幅度取决于牛群优化的进度，公司会保持对上游供给变动的跟踪。</w:t>
            </w:r>
          </w:p>
          <w:p>
            <w:pPr>
              <w:pStyle w:val="2"/>
              <w:numPr>
                <w:ilvl w:val="0"/>
                <w:numId w:val="2"/>
              </w:numPr>
              <w:spacing w:line="360" w:lineRule="auto"/>
              <w:ind w:firstLineChars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公司液奶渠道调整完后，有没有看到价盘恢复到渠道调整前？目前渠道库存情况如何？如何看待四季度液奶的表现？</w:t>
            </w:r>
          </w:p>
          <w:p>
            <w:pPr>
              <w:pStyle w:val="2"/>
              <w:numPr>
                <w:ilvl w:val="0"/>
                <w:numId w:val="0"/>
              </w:numPr>
              <w:spacing w:line="360" w:lineRule="auto"/>
              <w:ind w:leftChars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回答：</w:t>
            </w:r>
          </w:p>
          <w:p>
            <w:pPr>
              <w:pStyle w:val="2"/>
              <w:numPr>
                <w:ilvl w:val="0"/>
                <w:numId w:val="5"/>
              </w:numPr>
              <w:spacing w:line="360" w:lineRule="auto"/>
              <w:ind w:firstLineChars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今年7月，液奶完成渠道调整，渠道库存水平恢复到非常健康的水平，产品新鲜度明显改善，公司整体终端产品价格已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基本</w:t>
            </w:r>
            <w:r>
              <w:rPr>
                <w:rFonts w:hint="eastAsia"/>
                <w:sz w:val="24"/>
                <w:szCs w:val="24"/>
              </w:rPr>
              <w:t>恢复到正常水平。</w:t>
            </w:r>
          </w:p>
          <w:p>
            <w:pPr>
              <w:pStyle w:val="2"/>
              <w:numPr>
                <w:ilvl w:val="0"/>
                <w:numId w:val="5"/>
              </w:numPr>
              <w:spacing w:line="360" w:lineRule="auto"/>
              <w:ind w:firstLineChars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10月</w:t>
            </w:r>
            <w:r>
              <w:rPr>
                <w:rFonts w:hint="eastAsia"/>
                <w:sz w:val="24"/>
                <w:szCs w:val="24"/>
              </w:rPr>
              <w:t>国庆期间大家还是以出游为主，虽然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公司</w:t>
            </w:r>
            <w:r>
              <w:rPr>
                <w:rFonts w:hint="eastAsia"/>
                <w:sz w:val="24"/>
                <w:szCs w:val="24"/>
              </w:rPr>
              <w:t>一直在进行乳制品消费场景的拓展，在出行场景我们的产品也有很好的销售表现</w:t>
            </w:r>
            <w:r>
              <w:rPr>
                <w:rFonts w:hint="eastAsia"/>
                <w:sz w:val="24"/>
                <w:szCs w:val="24"/>
                <w:lang w:eastAsia="zh-CN"/>
              </w:rPr>
              <w:t>，</w:t>
            </w:r>
            <w:r>
              <w:rPr>
                <w:rFonts w:hint="eastAsia"/>
                <w:sz w:val="24"/>
                <w:szCs w:val="24"/>
              </w:rPr>
              <w:t>但乳制品销售中自饮和礼赠场景的占比更高。所以，10月份从终端动销来看，较之前没有太大变化。</w:t>
            </w:r>
          </w:p>
          <w:p>
            <w:pPr>
              <w:pStyle w:val="2"/>
              <w:numPr>
                <w:ilvl w:val="0"/>
                <w:numId w:val="5"/>
              </w:numPr>
              <w:spacing w:line="360" w:lineRule="auto"/>
              <w:ind w:firstLineChars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进入到11、12月份，我们在渠道调整完毕后，会继续夯实基础产品质价比的竞争优势，积极挖掘更多新兴渠道的增长机会（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如</w:t>
            </w:r>
            <w:r>
              <w:rPr>
                <w:rFonts w:hint="eastAsia"/>
                <w:sz w:val="24"/>
                <w:szCs w:val="24"/>
              </w:rPr>
              <w:t>零食折扣、生鲜店等），通过一系列举措，希望四季度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收入</w:t>
            </w:r>
            <w:r>
              <w:rPr>
                <w:rFonts w:hint="eastAsia"/>
                <w:sz w:val="24"/>
                <w:szCs w:val="24"/>
              </w:rPr>
              <w:t>能够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继续</w:t>
            </w:r>
            <w:r>
              <w:rPr>
                <w:rFonts w:hint="eastAsia"/>
                <w:sz w:val="24"/>
                <w:szCs w:val="24"/>
              </w:rPr>
              <w:t>环比改善。</w:t>
            </w:r>
          </w:p>
          <w:p>
            <w:pPr>
              <w:pStyle w:val="2"/>
              <w:numPr>
                <w:ilvl w:val="0"/>
                <w:numId w:val="2"/>
              </w:numPr>
              <w:spacing w:line="360" w:lineRule="auto"/>
              <w:ind w:firstLineChars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公司奶粉业务中，婴幼儿奶粉和成人营养品分别的表现如何？如何看待生育政策补贴对行业的影响？</w:t>
            </w:r>
          </w:p>
          <w:p>
            <w:pPr>
              <w:pStyle w:val="2"/>
              <w:numPr>
                <w:ilvl w:val="0"/>
                <w:numId w:val="0"/>
              </w:numPr>
              <w:spacing w:line="360" w:lineRule="auto"/>
              <w:ind w:leftChars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回答：</w:t>
            </w:r>
          </w:p>
          <w:p>
            <w:pPr>
              <w:pStyle w:val="2"/>
              <w:numPr>
                <w:ilvl w:val="0"/>
                <w:numId w:val="6"/>
              </w:numPr>
              <w:spacing w:line="360" w:lineRule="auto"/>
              <w:ind w:firstLineChars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今年</w:t>
            </w:r>
            <w:r>
              <w:rPr>
                <w:rFonts w:hint="eastAsia"/>
                <w:sz w:val="24"/>
                <w:szCs w:val="24"/>
              </w:rPr>
              <w:t>三季度，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公司</w:t>
            </w:r>
            <w:r>
              <w:rPr>
                <w:rFonts w:hint="eastAsia"/>
                <w:sz w:val="24"/>
                <w:szCs w:val="24"/>
              </w:rPr>
              <w:t>整体奶粉业务还是继续延续增长</w:t>
            </w:r>
            <w:r>
              <w:rPr>
                <w:rFonts w:hint="eastAsia"/>
                <w:sz w:val="24"/>
                <w:szCs w:val="24"/>
                <w:lang w:eastAsia="zh-CN"/>
              </w:rPr>
              <w:t>的</w:t>
            </w:r>
            <w:r>
              <w:rPr>
                <w:rFonts w:hint="eastAsia"/>
                <w:sz w:val="24"/>
                <w:szCs w:val="24"/>
              </w:rPr>
              <w:t>趋势</w:t>
            </w:r>
            <w:r>
              <w:rPr>
                <w:rFonts w:hint="eastAsia"/>
                <w:sz w:val="24"/>
                <w:szCs w:val="24"/>
                <w:lang w:eastAsia="zh-CN"/>
              </w:rPr>
              <w:t>；</w:t>
            </w:r>
            <w:r>
              <w:rPr>
                <w:rFonts w:hint="eastAsia"/>
                <w:sz w:val="24"/>
                <w:szCs w:val="24"/>
              </w:rPr>
              <w:t>其中</w:t>
            </w:r>
            <w:r>
              <w:rPr>
                <w:rFonts w:hint="eastAsia"/>
                <w:sz w:val="24"/>
                <w:szCs w:val="24"/>
                <w:lang w:eastAsia="zh-CN"/>
              </w:rPr>
              <w:t>，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婴幼儿奶粉收入</w:t>
            </w:r>
            <w:r>
              <w:rPr>
                <w:rFonts w:hint="eastAsia"/>
                <w:sz w:val="24"/>
                <w:szCs w:val="24"/>
              </w:rPr>
              <w:t>增长超过双位数。公司持续强化临床实证背书和口碑传播，品牌力得到大幅提升，消费者自选率不断增加。同时，我们也把握了消费者更加关注质价比的消费趋势，公司</w:t>
            </w:r>
            <w:r>
              <w:rPr>
                <w:rFonts w:hint="eastAsia"/>
                <w:sz w:val="24"/>
                <w:szCs w:val="24"/>
                <w:lang w:eastAsia="zh-CN"/>
              </w:rPr>
              <w:t>的</w:t>
            </w:r>
            <w:r>
              <w:rPr>
                <w:rFonts w:hint="eastAsia"/>
                <w:sz w:val="24"/>
                <w:szCs w:val="24"/>
              </w:rPr>
              <w:t>产品优势更加突出。除此之外，今年公司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婴幼儿奶粉业务</w:t>
            </w:r>
            <w:r>
              <w:rPr>
                <w:rFonts w:hint="eastAsia"/>
                <w:sz w:val="24"/>
                <w:szCs w:val="24"/>
              </w:rPr>
              <w:t>也通过高端新品和更优质配方来拉动品类升级和迭代。截止三季度，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公司婴幼儿奶粉</w:t>
            </w:r>
            <w:r>
              <w:rPr>
                <w:rFonts w:hint="eastAsia"/>
                <w:sz w:val="24"/>
                <w:szCs w:val="24"/>
              </w:rPr>
              <w:t>全渠道市场份额已经达到13.2%，同比增长2个百分点。</w:t>
            </w:r>
          </w:p>
          <w:p>
            <w:pPr>
              <w:pStyle w:val="2"/>
              <w:numPr>
                <w:ilvl w:val="0"/>
                <w:numId w:val="6"/>
              </w:numPr>
              <w:spacing w:line="360" w:lineRule="auto"/>
              <w:ind w:firstLineChars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在成人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营养品</w:t>
            </w:r>
            <w:r>
              <w:rPr>
                <w:rFonts w:hint="eastAsia"/>
                <w:sz w:val="24"/>
                <w:szCs w:val="24"/>
              </w:rPr>
              <w:t>方面，从行业来看，成人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营养品</w:t>
            </w:r>
            <w:r>
              <w:rPr>
                <w:rFonts w:hint="eastAsia"/>
                <w:sz w:val="24"/>
                <w:szCs w:val="24"/>
              </w:rPr>
              <w:t>的刚需属性相对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婴幼儿奶粉</w:t>
            </w:r>
            <w:r>
              <w:rPr>
                <w:rFonts w:hint="eastAsia"/>
                <w:sz w:val="24"/>
                <w:szCs w:val="24"/>
              </w:rPr>
              <w:t>会弱一些。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另外</w:t>
            </w:r>
            <w:r>
              <w:rPr>
                <w:rFonts w:hint="eastAsia"/>
                <w:sz w:val="24"/>
                <w:szCs w:val="24"/>
              </w:rPr>
              <w:t>，由于原奶供需不平衡，导致很多小型乳企采用低价战略进入到成人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营养品</w:t>
            </w:r>
            <w:r>
              <w:rPr>
                <w:rFonts w:hint="eastAsia"/>
                <w:sz w:val="24"/>
                <w:szCs w:val="24"/>
              </w:rPr>
              <w:t>行业，这对于消费者教育有一定帮助，但是客观上加大了行业竞争。虽然受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到</w:t>
            </w:r>
            <w:r>
              <w:rPr>
                <w:rFonts w:hint="eastAsia"/>
                <w:sz w:val="24"/>
                <w:szCs w:val="24"/>
              </w:rPr>
              <w:t>消费力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偏弱</w:t>
            </w:r>
            <w:r>
              <w:rPr>
                <w:rFonts w:hint="eastAsia"/>
                <w:sz w:val="24"/>
                <w:szCs w:val="24"/>
              </w:rPr>
              <w:t>和竞争的影响，但公司成人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营养品</w:t>
            </w:r>
            <w:r>
              <w:rPr>
                <w:rFonts w:hint="eastAsia"/>
                <w:sz w:val="24"/>
                <w:szCs w:val="24"/>
              </w:rPr>
              <w:t>依靠差异化产品</w:t>
            </w:r>
            <w:r>
              <w:rPr>
                <w:rFonts w:hint="eastAsia"/>
                <w:sz w:val="24"/>
                <w:szCs w:val="24"/>
                <w:lang w:eastAsia="zh-CN"/>
              </w:rPr>
              <w:t>的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布局，</w:t>
            </w:r>
            <w:r>
              <w:rPr>
                <w:rFonts w:hint="eastAsia"/>
                <w:sz w:val="24"/>
                <w:szCs w:val="24"/>
              </w:rPr>
              <w:t>依然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保持</w:t>
            </w:r>
            <w:r>
              <w:rPr>
                <w:rFonts w:hint="eastAsia"/>
                <w:sz w:val="24"/>
                <w:szCs w:val="24"/>
              </w:rPr>
              <w:t>稳定</w:t>
            </w:r>
            <w:r>
              <w:rPr>
                <w:rFonts w:hint="eastAsia"/>
                <w:sz w:val="24"/>
                <w:szCs w:val="24"/>
                <w:lang w:eastAsia="zh-CN"/>
              </w:rPr>
              <w:t>的</w:t>
            </w:r>
            <w:r>
              <w:rPr>
                <w:rFonts w:hint="eastAsia"/>
                <w:sz w:val="24"/>
                <w:szCs w:val="24"/>
              </w:rPr>
              <w:t>行业地位。</w:t>
            </w:r>
          </w:p>
          <w:p>
            <w:pPr>
              <w:pStyle w:val="2"/>
              <w:numPr>
                <w:ilvl w:val="0"/>
                <w:numId w:val="6"/>
              </w:numPr>
              <w:spacing w:line="360" w:lineRule="auto"/>
              <w:ind w:firstLineChars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政策层面来看，国家非常关注人口结构调整，我们也看到近期国务院办公厅发文强化生育服务支持，措施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中</w:t>
            </w:r>
            <w:r>
              <w:rPr>
                <w:rFonts w:hint="eastAsia"/>
                <w:sz w:val="24"/>
                <w:szCs w:val="24"/>
              </w:rPr>
              <w:t>也提到建立生育补贴制度，完善幼儿服务保障体系等。公司非常关注国家相关政策的影响，也会努力把握行业的发展机会。</w:t>
            </w:r>
          </w:p>
          <w:p>
            <w:pPr>
              <w:pStyle w:val="2"/>
              <w:numPr>
                <w:ilvl w:val="0"/>
                <w:numId w:val="2"/>
              </w:numPr>
              <w:spacing w:line="360" w:lineRule="auto"/>
              <w:ind w:firstLineChars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最近，国家密集地出台了很多提振消费和提振乳业的政策，对乳制品行业有什么样的影响？公司对乳制品的短期和长期需求如何展望？</w:t>
            </w:r>
          </w:p>
          <w:p>
            <w:pPr>
              <w:pStyle w:val="2"/>
              <w:numPr>
                <w:ilvl w:val="0"/>
                <w:numId w:val="0"/>
              </w:numPr>
              <w:spacing w:line="360" w:lineRule="auto"/>
              <w:ind w:leftChars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回答：</w:t>
            </w:r>
          </w:p>
          <w:p>
            <w:pPr>
              <w:pStyle w:val="2"/>
              <w:numPr>
                <w:ilvl w:val="0"/>
                <w:numId w:val="7"/>
              </w:numPr>
              <w:spacing w:line="360" w:lineRule="auto"/>
              <w:ind w:firstLineChars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国家政策的出台，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长期来看，对于</w:t>
            </w:r>
            <w:r>
              <w:rPr>
                <w:rFonts w:hint="eastAsia"/>
                <w:sz w:val="24"/>
                <w:szCs w:val="24"/>
              </w:rPr>
              <w:t>需求</w:t>
            </w:r>
            <w:r>
              <w:rPr>
                <w:rFonts w:hint="eastAsia"/>
                <w:sz w:val="24"/>
                <w:szCs w:val="24"/>
                <w:lang w:eastAsia="zh-CN"/>
              </w:rPr>
              <w:t>的</w:t>
            </w:r>
            <w:r>
              <w:rPr>
                <w:rFonts w:hint="eastAsia"/>
                <w:sz w:val="24"/>
                <w:szCs w:val="24"/>
              </w:rPr>
              <w:t>提振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肯定是有帮助的</w:t>
            </w:r>
            <w:r>
              <w:rPr>
                <w:rFonts w:hint="eastAsia"/>
                <w:sz w:val="24"/>
                <w:szCs w:val="24"/>
              </w:rPr>
              <w:t>。目前，终端需求与上半年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还</w:t>
            </w:r>
            <w:r>
              <w:rPr>
                <w:rFonts w:hint="eastAsia"/>
                <w:sz w:val="24"/>
                <w:szCs w:val="24"/>
              </w:rPr>
              <w:t>相差不大</w:t>
            </w:r>
            <w:r>
              <w:rPr>
                <w:rFonts w:hint="eastAsia"/>
                <w:sz w:val="24"/>
                <w:szCs w:val="24"/>
                <w:lang w:eastAsia="zh-CN"/>
              </w:rPr>
              <w:t>，</w:t>
            </w:r>
            <w:r>
              <w:rPr>
                <w:rFonts w:hint="eastAsia"/>
                <w:sz w:val="24"/>
                <w:szCs w:val="24"/>
              </w:rPr>
              <w:t>但从四季度以来，无论是宏观经济还是消费信心，我们还是看到了一些向好的趋势。</w:t>
            </w:r>
          </w:p>
          <w:p>
            <w:pPr>
              <w:pStyle w:val="2"/>
              <w:numPr>
                <w:ilvl w:val="0"/>
                <w:numId w:val="7"/>
              </w:numPr>
              <w:spacing w:line="360" w:lineRule="auto"/>
              <w:ind w:firstLineChars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在一二线城市，乳制品的渗透率和购买频次已经接近部分欧美发达国家。但是对于低线城市，人均饮奶量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还</w:t>
            </w:r>
            <w:r>
              <w:rPr>
                <w:rFonts w:hint="eastAsia"/>
                <w:sz w:val="24"/>
                <w:szCs w:val="24"/>
              </w:rPr>
              <w:t>不到一二线城市的一半，青少年的饮奶量相比发达地区，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也</w:t>
            </w:r>
            <w:r>
              <w:rPr>
                <w:rFonts w:hint="eastAsia"/>
                <w:sz w:val="24"/>
                <w:szCs w:val="24"/>
              </w:rPr>
              <w:t>都还有很大差距。所以，未来随着学生奶政策的落地，会进一步带动青少年饮奶量的提升。学生奶的推广不仅带动中短期的销量，更有利于饮奶习惯的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培养</w:t>
            </w:r>
            <w:r>
              <w:rPr>
                <w:rFonts w:hint="eastAsia"/>
                <w:sz w:val="24"/>
                <w:szCs w:val="24"/>
              </w:rPr>
              <w:t>。目前国内的饮奶结构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中</w:t>
            </w:r>
            <w:r>
              <w:rPr>
                <w:rFonts w:hint="eastAsia"/>
                <w:sz w:val="24"/>
                <w:szCs w:val="24"/>
              </w:rPr>
              <w:t>，成年人的饮奶量相比青少年和中老年还是会少一些。相比日韩等国家，国内成年人的人均乳制品消费量同样偏低。其中，一部分原因就是日韩等国家，更早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地</w:t>
            </w:r>
            <w:r>
              <w:rPr>
                <w:rFonts w:hint="eastAsia"/>
                <w:sz w:val="24"/>
                <w:szCs w:val="24"/>
              </w:rPr>
              <w:t>从青少年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开始</w:t>
            </w:r>
            <w:r>
              <w:rPr>
                <w:rFonts w:hint="eastAsia"/>
                <w:sz w:val="24"/>
                <w:szCs w:val="24"/>
              </w:rPr>
              <w:t>培养了乳制品的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消费</w:t>
            </w:r>
            <w:r>
              <w:rPr>
                <w:rFonts w:hint="eastAsia"/>
                <w:sz w:val="24"/>
                <w:szCs w:val="24"/>
              </w:rPr>
              <w:t>习惯。因此，对我国来说，青少年饮奶习惯的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持续</w:t>
            </w:r>
            <w:r>
              <w:rPr>
                <w:rFonts w:hint="eastAsia"/>
                <w:sz w:val="24"/>
                <w:szCs w:val="24"/>
              </w:rPr>
              <w:t>培养，不仅会拉动短期的销量增长，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也会带动</w:t>
            </w:r>
            <w:r>
              <w:rPr>
                <w:rFonts w:hint="eastAsia"/>
                <w:sz w:val="24"/>
                <w:szCs w:val="24"/>
              </w:rPr>
              <w:t>未来整体的乳制品消费量再上一个台阶。</w:t>
            </w:r>
          </w:p>
          <w:p>
            <w:pPr>
              <w:pStyle w:val="2"/>
              <w:numPr>
                <w:ilvl w:val="0"/>
                <w:numId w:val="2"/>
              </w:numPr>
              <w:spacing w:line="360" w:lineRule="auto"/>
              <w:ind w:firstLineChars="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目前有部分消费者会有谨慎消费的态度，公司如何看待未来消费升级和多元化的趋势？</w:t>
            </w:r>
          </w:p>
          <w:p>
            <w:pPr>
              <w:pStyle w:val="2"/>
              <w:numPr>
                <w:ilvl w:val="0"/>
                <w:numId w:val="0"/>
              </w:numPr>
              <w:spacing w:line="360" w:lineRule="auto"/>
              <w:ind w:leftChars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回答：</w:t>
            </w:r>
          </w:p>
          <w:p>
            <w:pPr>
              <w:pStyle w:val="2"/>
              <w:numPr>
                <w:ilvl w:val="0"/>
                <w:numId w:val="8"/>
              </w:numPr>
              <w:spacing w:line="360" w:lineRule="auto"/>
              <w:ind w:firstLineChars="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相较海外成熟市场，国内乳制品全国化的进程只有不到30年，液态奶的饮用习惯和消费频次还有提升空间，消费品类的丰富性还有延展潜力，从“饮奶”向“吃奶”转变的前景也很广阔。特别是中国市场拥有14亿消费群体，消费者的需求丰富多样。具备更高营养、更强功能性和更美味的乳制品，比如有机奶、功能性液奶、酸奶、奶酪、功能性奶粉、淡奶油等品类，都还有驱动行业增长的潜力。作为龙头企业，伊利也希望发挥自身在创新和技术研发方面的优势，强化消费者教育，推动乳制品行业的持续升级和发展。</w:t>
            </w:r>
          </w:p>
          <w:p>
            <w:pPr>
              <w:pStyle w:val="2"/>
              <w:numPr>
                <w:ilvl w:val="0"/>
                <w:numId w:val="8"/>
              </w:numPr>
              <w:spacing w:line="360" w:lineRule="auto"/>
              <w:ind w:firstLineChars="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但短期来看，特别是最近一两年，国内消费信心有一些波动，叠加原奶供给量的增加，价格在消费决策的影响占比会更大一些。消费品企业或多或少都会面对这样的变化。对于乳制品行业来说，消费的分化比较明显，一二线城市受到的影响会更大；三四线城市的扰动会小一些，乳制品消费量还是上升的。面对消费谨慎的市场趋势，公司也灵活地优化调整自身的经营策略，从产品规格包装、产品价格带布局等方面入手，满足多样化的消费需求。</w:t>
            </w:r>
          </w:p>
          <w:p>
            <w:pPr>
              <w:pStyle w:val="2"/>
              <w:numPr>
                <w:ilvl w:val="0"/>
                <w:numId w:val="8"/>
              </w:numPr>
              <w:spacing w:line="360" w:lineRule="auto"/>
              <w:ind w:firstLineChars="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此外，我们观察到，有很多消费者追求功能性、口味更多元、口感更丰富的产品，追求具备情绪价值的产品。所以，金典有机产品仍然保持较快增长，伊利成人营养品中的功能性产品的增速也快于行业。作为行业龙头企业，我们时刻关注国内消费升级的趋势，保持敏锐的洞察，同时也做了很多的新品储备，一旦看到新的消费变化，会快速地切入到相应的赛道中。</w:t>
            </w:r>
          </w:p>
          <w:p>
            <w:pPr>
              <w:pStyle w:val="2"/>
              <w:numPr>
                <w:ilvl w:val="0"/>
                <w:numId w:val="2"/>
              </w:numPr>
              <w:spacing w:line="360" w:lineRule="auto"/>
              <w:ind w:firstLineChars="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公司如何展望未来的销售费用率趋势？会采用哪些方式来提升费用使用效率？</w:t>
            </w:r>
          </w:p>
          <w:p>
            <w:pPr>
              <w:pStyle w:val="2"/>
              <w:numPr>
                <w:ilvl w:val="0"/>
                <w:numId w:val="0"/>
              </w:numPr>
              <w:spacing w:line="360" w:lineRule="auto"/>
              <w:ind w:leftChars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回答：</w:t>
            </w:r>
          </w:p>
          <w:p>
            <w:pPr>
              <w:pStyle w:val="2"/>
              <w:numPr>
                <w:ilvl w:val="0"/>
                <w:numId w:val="0"/>
              </w:numPr>
              <w:spacing w:line="360" w:lineRule="auto"/>
              <w:ind w:leftChars="0" w:firstLine="480" w:firstLineChars="2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未来几年</w:t>
            </w:r>
            <w:r>
              <w:rPr>
                <w:rFonts w:hint="eastAsia"/>
                <w:sz w:val="24"/>
                <w:szCs w:val="24"/>
                <w:lang w:eastAsia="zh-CN"/>
              </w:rPr>
              <w:t>，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公司会继续通过多种方式来提升费用使用效率</w:t>
            </w:r>
            <w:r>
              <w:rPr>
                <w:rFonts w:hint="eastAsia"/>
                <w:sz w:val="24"/>
                <w:szCs w:val="24"/>
              </w:rPr>
              <w:t>。从各业务板块的投入节奏来看，液奶、冷饮业务近几年来费用使用效率一直在提升。其他过去几年一直在投入的业务，比如奶粉、低温、国际业务等，经过过去几年的培育，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也</w:t>
            </w:r>
            <w:r>
              <w:rPr>
                <w:rFonts w:hint="eastAsia"/>
                <w:sz w:val="24"/>
                <w:szCs w:val="24"/>
              </w:rPr>
              <w:t>开始体现出一定的规模效应。从经营效率方面，未来，公司会继续加强数字化转型，通过精准营销提高广告投放效率，降低广告费用；此外，也会通过整合营销，加强线上线下渠道融合，优化资源配置，降低渠道成本。</w:t>
            </w:r>
          </w:p>
          <w:p>
            <w:pPr>
              <w:pStyle w:val="2"/>
              <w:numPr>
                <w:ilvl w:val="0"/>
                <w:numId w:val="2"/>
              </w:numPr>
              <w:spacing w:line="360" w:lineRule="auto"/>
              <w:ind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公司非乳业务和国际化业务目前发展如何，公司是如何思考这些业务的？公司未来战略规划是什么样的？</w:t>
            </w:r>
          </w:p>
          <w:p>
            <w:pPr>
              <w:pStyle w:val="2"/>
              <w:numPr>
                <w:ilvl w:val="0"/>
                <w:numId w:val="0"/>
              </w:numPr>
              <w:spacing w:line="360" w:lineRule="auto"/>
              <w:ind w:leftChars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回答：</w:t>
            </w:r>
          </w:p>
          <w:p>
            <w:pPr>
              <w:pStyle w:val="2"/>
              <w:numPr>
                <w:ilvl w:val="0"/>
                <w:numId w:val="9"/>
              </w:numPr>
              <w:spacing w:line="360" w:lineRule="auto"/>
              <w:ind w:firstLineChars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非乳业务：水饮业务是公司持续培育和探索的业务。公司通过火山矿泉水作为差异化入局，布局了阿尔山和长白山水源地，在部分选定地区重点发展突破，加强水饮终端服务能力，抓住户外出行场景，提升网点覆盖率，探索适合公司的水饮业务模式。水饮业务中，现泡茶产品增长很快，作为无糖茶饮我们进行了差异化创新现泡的设计，获得了消费者一致好评</w:t>
            </w:r>
            <w:r>
              <w:rPr>
                <w:rFonts w:hint="eastAsia"/>
                <w:sz w:val="24"/>
                <w:szCs w:val="24"/>
                <w:lang w:eastAsia="zh-CN"/>
              </w:rPr>
              <w:t>。</w:t>
            </w:r>
            <w:r>
              <w:rPr>
                <w:rFonts w:hint="eastAsia"/>
                <w:sz w:val="24"/>
                <w:szCs w:val="24"/>
              </w:rPr>
              <w:t>目前因为产能限制，仅在部分地区的便利、电商等渠道上市，未来随着产能的提升，会逐步加大渠道铺货和宣传。</w:t>
            </w:r>
          </w:p>
          <w:p>
            <w:pPr>
              <w:pStyle w:val="2"/>
              <w:numPr>
                <w:ilvl w:val="0"/>
                <w:numId w:val="9"/>
              </w:numPr>
              <w:spacing w:line="360" w:lineRule="auto"/>
              <w:ind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国际化业务：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通过过去几年的国际化布局</w:t>
            </w:r>
            <w:r>
              <w:rPr>
                <w:rFonts w:hint="eastAsia"/>
                <w:sz w:val="24"/>
                <w:szCs w:val="24"/>
              </w:rPr>
              <w:t>，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公司</w:t>
            </w:r>
            <w:r>
              <w:rPr>
                <w:rFonts w:hint="eastAsia"/>
                <w:sz w:val="24"/>
                <w:szCs w:val="24"/>
              </w:rPr>
              <w:t>积累了很多经验，也探索出了适合我们的盈利模式。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未来，</w:t>
            </w:r>
            <w:r>
              <w:rPr>
                <w:rFonts w:hint="eastAsia"/>
                <w:sz w:val="24"/>
                <w:szCs w:val="24"/>
              </w:rPr>
              <w:t>一方面，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我们会继续</w:t>
            </w:r>
            <w:r>
              <w:rPr>
                <w:rFonts w:hint="eastAsia"/>
                <w:sz w:val="24"/>
                <w:szCs w:val="24"/>
              </w:rPr>
              <w:t>在泰国、印尼和其他东南亚有消费潜力和增长趋势的国家加大布局。另一方面，我们也会考虑在东南亚市场拓展除冰激凌以外的其他乳制品品类。对于其他的国家地区，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业务拓展主要</w:t>
            </w:r>
            <w:r>
              <w:rPr>
                <w:rFonts w:hint="eastAsia"/>
                <w:sz w:val="24"/>
                <w:szCs w:val="24"/>
              </w:rPr>
              <w:t>以贸易为主，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如</w:t>
            </w:r>
            <w:r>
              <w:rPr>
                <w:rFonts w:hint="eastAsia"/>
                <w:sz w:val="24"/>
                <w:szCs w:val="24"/>
              </w:rPr>
              <w:t>美洲、非洲、中东等地区，通过和当地经销商合作，逐步加强本地化运营的能力。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此外，</w:t>
            </w:r>
            <w:r>
              <w:rPr>
                <w:rFonts w:hint="eastAsia"/>
                <w:sz w:val="24"/>
                <w:szCs w:val="24"/>
              </w:rPr>
              <w:t>澳优也在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持续进行</w:t>
            </w:r>
            <w:r>
              <w:rPr>
                <w:rFonts w:hint="eastAsia"/>
                <w:sz w:val="24"/>
                <w:szCs w:val="24"/>
              </w:rPr>
              <w:t>全球扩张，海外区域版图正有序开拓。</w:t>
            </w:r>
          </w:p>
          <w:p>
            <w:pPr>
              <w:pStyle w:val="2"/>
              <w:numPr>
                <w:ilvl w:val="0"/>
                <w:numId w:val="9"/>
              </w:numPr>
              <w:spacing w:line="360" w:lineRule="auto"/>
              <w:ind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这几年，公司的非乳业务和海外业务也探索出了一些适合自己的商业模式，未来我们会逐步增加这些业务战略性的投资和布局。</w:t>
            </w:r>
          </w:p>
          <w:p>
            <w:pPr>
              <w:pStyle w:val="2"/>
              <w:numPr>
                <w:ilvl w:val="0"/>
                <w:numId w:val="2"/>
              </w:numPr>
              <w:spacing w:line="360" w:lineRule="auto"/>
              <w:ind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公司未来在资本开支上有什么规划？</w:t>
            </w:r>
          </w:p>
          <w:p>
            <w:pPr>
              <w:pStyle w:val="2"/>
              <w:numPr>
                <w:ilvl w:val="0"/>
                <w:numId w:val="0"/>
              </w:numPr>
              <w:spacing w:line="360" w:lineRule="auto"/>
              <w:ind w:leftChars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回答：</w:t>
            </w:r>
          </w:p>
          <w:p>
            <w:pPr>
              <w:pStyle w:val="2"/>
              <w:numPr>
                <w:ilvl w:val="0"/>
                <w:numId w:val="0"/>
              </w:numPr>
              <w:spacing w:line="360" w:lineRule="auto"/>
              <w:ind w:leftChars="0" w:firstLine="480" w:firstLineChars="200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公司</w:t>
            </w:r>
            <w:r>
              <w:rPr>
                <w:rFonts w:hint="eastAsia"/>
                <w:sz w:val="24"/>
                <w:szCs w:val="24"/>
              </w:rPr>
              <w:t>今年全年资本开支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预计</w:t>
            </w:r>
            <w:r>
              <w:rPr>
                <w:rFonts w:hint="eastAsia"/>
                <w:sz w:val="24"/>
                <w:szCs w:val="24"/>
              </w:rPr>
              <w:t>约为40亿左右，其中20到30亿为维护性支出</w:t>
            </w:r>
            <w:r>
              <w:rPr>
                <w:rFonts w:hint="eastAsia"/>
                <w:sz w:val="24"/>
                <w:szCs w:val="24"/>
                <w:lang w:eastAsia="zh-CN"/>
              </w:rPr>
              <w:t>。因为我们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近几年</w:t>
            </w:r>
            <w:r>
              <w:rPr>
                <w:rFonts w:hint="eastAsia"/>
                <w:sz w:val="24"/>
                <w:szCs w:val="24"/>
                <w:lang w:eastAsia="zh-CN"/>
              </w:rPr>
              <w:t>基本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上</w:t>
            </w:r>
            <w:r>
              <w:rPr>
                <w:rFonts w:hint="eastAsia"/>
                <w:sz w:val="24"/>
                <w:szCs w:val="24"/>
                <w:lang w:eastAsia="zh-CN"/>
              </w:rPr>
              <w:t>完成了主要产能的构建，未来2到3年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预计资本开支大概也会维持类似的体量</w:t>
            </w:r>
            <w:r>
              <w:rPr>
                <w:rFonts w:hint="eastAsia"/>
                <w:sz w:val="24"/>
                <w:szCs w:val="24"/>
                <w:lang w:eastAsia="zh-CN"/>
              </w:rPr>
              <w:t>。</w:t>
            </w:r>
          </w:p>
          <w:p>
            <w:pPr>
              <w:pStyle w:val="2"/>
              <w:numPr>
                <w:ilvl w:val="0"/>
                <w:numId w:val="2"/>
              </w:numPr>
              <w:spacing w:line="360" w:lineRule="auto"/>
              <w:ind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公司未来在分红上有什么考虑？</w:t>
            </w:r>
          </w:p>
          <w:p>
            <w:pPr>
              <w:pStyle w:val="2"/>
              <w:numPr>
                <w:ilvl w:val="0"/>
                <w:numId w:val="0"/>
              </w:numPr>
              <w:spacing w:line="360" w:lineRule="auto"/>
              <w:ind w:leftChars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回答：</w:t>
            </w:r>
          </w:p>
          <w:p>
            <w:pPr>
              <w:pStyle w:val="2"/>
              <w:numPr>
                <w:ilvl w:val="0"/>
                <w:numId w:val="0"/>
              </w:numPr>
              <w:spacing w:line="360" w:lineRule="auto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/>
                <w:szCs w:val="21"/>
              </w:rPr>
              <w:tab/>
            </w:r>
            <w:r>
              <w:rPr>
                <w:rFonts w:hint="default"/>
                <w:sz w:val="24"/>
                <w:szCs w:val="24"/>
                <w:lang w:eastAsia="zh-CN"/>
              </w:rPr>
              <w:t>按照目前的经营判断，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公司</w:t>
            </w:r>
            <w:r>
              <w:rPr>
                <w:rFonts w:hint="default"/>
                <w:sz w:val="24"/>
                <w:szCs w:val="24"/>
                <w:lang w:eastAsia="zh-CN"/>
              </w:rPr>
              <w:t>今年的分红额可能会比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2023年有所提升</w:t>
            </w:r>
            <w:r>
              <w:rPr>
                <w:rFonts w:hint="default"/>
                <w:sz w:val="24"/>
                <w:szCs w:val="24"/>
                <w:lang w:eastAsia="zh-CN"/>
              </w:rPr>
              <w:t>。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公司</w:t>
            </w:r>
            <w:r>
              <w:rPr>
                <w:rFonts w:hint="default"/>
                <w:sz w:val="24"/>
                <w:szCs w:val="24"/>
                <w:lang w:eastAsia="zh-CN"/>
              </w:rPr>
              <w:t>一直保持着比较健康的现金流水平，在满足日常的生产经营需求之外，还是希望能够以最大的能力来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回馈</w:t>
            </w:r>
            <w:r>
              <w:rPr>
                <w:rFonts w:hint="default"/>
                <w:sz w:val="24"/>
                <w:szCs w:val="24"/>
                <w:lang w:eastAsia="zh-CN"/>
              </w:rPr>
              <w:t>股东</w:t>
            </w:r>
            <w:r>
              <w:rPr>
                <w:rFonts w:hint="eastAsia"/>
                <w:sz w:val="24"/>
                <w:szCs w:val="24"/>
                <w:lang w:eastAsia="zh-CN"/>
              </w:rPr>
              <w:t>，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预计未来几年将继续</w:t>
            </w:r>
            <w:r>
              <w:rPr>
                <w:rFonts w:hint="default"/>
                <w:sz w:val="24"/>
                <w:szCs w:val="24"/>
                <w:lang w:eastAsia="zh-CN"/>
              </w:rPr>
              <w:t>保持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不低于</w:t>
            </w:r>
            <w:r>
              <w:rPr>
                <w:rFonts w:hint="default"/>
                <w:sz w:val="24"/>
                <w:szCs w:val="24"/>
                <w:lang w:eastAsia="zh-CN"/>
              </w:rPr>
              <w:t>70%的分红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率</w:t>
            </w:r>
            <w:r>
              <w:rPr>
                <w:rFonts w:hint="default"/>
                <w:sz w:val="24"/>
                <w:szCs w:val="24"/>
                <w:lang w:eastAsia="zh-CN"/>
              </w:rPr>
              <w:t>水平</w:t>
            </w:r>
            <w:r>
              <w:rPr>
                <w:rFonts w:hint="eastAsia"/>
                <w:sz w:val="24"/>
                <w:szCs w:val="24"/>
                <w:lang w:eastAsia="zh-CN"/>
              </w:rPr>
              <w:t>。</w:t>
            </w:r>
          </w:p>
          <w:p>
            <w:pPr>
              <w:pStyle w:val="2"/>
              <w:numPr>
                <w:ilvl w:val="0"/>
                <w:numId w:val="0"/>
              </w:numPr>
              <w:spacing w:line="360" w:lineRule="auto"/>
              <w:ind w:leftChars="0"/>
              <w:rPr>
                <w:sz w:val="24"/>
                <w:szCs w:val="24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169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Liberation Serif" w:hAnsi="Liberation Serif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Liberation Serif" w:hAnsi="Liberation Serif" w:eastAsia="宋体" w:cs="Arial"/>
                <w:kern w:val="0"/>
                <w:sz w:val="24"/>
                <w:szCs w:val="24"/>
              </w:rPr>
              <w:t>附件清单</w:t>
            </w:r>
          </w:p>
          <w:p>
            <w:pPr>
              <w:spacing w:line="360" w:lineRule="auto"/>
              <w:jc w:val="center"/>
              <w:rPr>
                <w:rFonts w:hint="eastAsia" w:ascii="Liberation Serif" w:hAnsi="Liberation Serif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Liberation Serif" w:hAnsi="Liberation Serif" w:eastAsia="宋体" w:cs="Arial"/>
                <w:kern w:val="0"/>
                <w:sz w:val="24"/>
                <w:szCs w:val="24"/>
              </w:rPr>
              <w:t>（如有）</w:t>
            </w:r>
          </w:p>
        </w:tc>
        <w:tc>
          <w:tcPr>
            <w:tcW w:w="6793" w:type="dxa"/>
          </w:tcPr>
          <w:p>
            <w:pPr>
              <w:spacing w:line="360" w:lineRule="auto"/>
              <w:jc w:val="left"/>
              <w:rPr>
                <w:rFonts w:hint="eastAsia" w:ascii="Liberation Serif" w:hAnsi="Liberation Serif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Liberation Serif" w:hAnsi="Liberation Serif" w:eastAsia="宋体" w:cs="Arial"/>
                <w:kern w:val="0"/>
                <w:sz w:val="24"/>
                <w:szCs w:val="24"/>
              </w:rPr>
              <w:t>无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iberation Serif">
    <w:altName w:val="Segoe Print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egoe Print">
    <w:panose1 w:val="02000600000000000000"/>
    <w:charset w:val="01"/>
    <w:family w:val="roman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D453364"/>
    <w:multiLevelType w:val="multilevel"/>
    <w:tmpl w:val="8D453364"/>
    <w:lvl w:ilvl="0" w:tentative="0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B6F241DF"/>
    <w:multiLevelType w:val="multilevel"/>
    <w:tmpl w:val="B6F241DF"/>
    <w:lvl w:ilvl="0" w:tentative="0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2">
    <w:nsid w:val="F1D8F300"/>
    <w:multiLevelType w:val="multilevel"/>
    <w:tmpl w:val="F1D8F300"/>
    <w:lvl w:ilvl="0" w:tentative="0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3">
    <w:nsid w:val="F9093337"/>
    <w:multiLevelType w:val="multilevel"/>
    <w:tmpl w:val="F9093337"/>
    <w:lvl w:ilvl="0" w:tentative="0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4">
    <w:nsid w:val="12520211"/>
    <w:multiLevelType w:val="multilevel"/>
    <w:tmpl w:val="12520211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5">
    <w:nsid w:val="29B94716"/>
    <w:multiLevelType w:val="multilevel"/>
    <w:tmpl w:val="29B94716"/>
    <w:lvl w:ilvl="0" w:tentative="0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6">
    <w:nsid w:val="3C05C6ED"/>
    <w:multiLevelType w:val="multilevel"/>
    <w:tmpl w:val="3C05C6ED"/>
    <w:lvl w:ilvl="0" w:tentative="0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7">
    <w:nsid w:val="51DD5CE1"/>
    <w:multiLevelType w:val="multilevel"/>
    <w:tmpl w:val="51DD5CE1"/>
    <w:lvl w:ilvl="0" w:tentative="0">
      <w:start w:val="2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8">
    <w:nsid w:val="5CC9E4C5"/>
    <w:multiLevelType w:val="multilevel"/>
    <w:tmpl w:val="5CC9E4C5"/>
    <w:lvl w:ilvl="0" w:tentative="0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8"/>
  </w:num>
  <w:num w:numId="7">
    <w:abstractNumId w:val="2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JjNTViZDJlMzUzYWZhOTIxYzA0YjAwNjY1MzVkNjYifQ=="/>
  </w:docVars>
  <w:rsids>
    <w:rsidRoot w:val="2E635145"/>
    <w:rsid w:val="00044F71"/>
    <w:rsid w:val="00083D45"/>
    <w:rsid w:val="000B316F"/>
    <w:rsid w:val="000C667E"/>
    <w:rsid w:val="001200A4"/>
    <w:rsid w:val="00130964"/>
    <w:rsid w:val="00132C3E"/>
    <w:rsid w:val="00144AE9"/>
    <w:rsid w:val="001E444B"/>
    <w:rsid w:val="00230030"/>
    <w:rsid w:val="00281D15"/>
    <w:rsid w:val="002F5122"/>
    <w:rsid w:val="003836A3"/>
    <w:rsid w:val="003F7216"/>
    <w:rsid w:val="00483B76"/>
    <w:rsid w:val="00496971"/>
    <w:rsid w:val="00555E01"/>
    <w:rsid w:val="00595F3B"/>
    <w:rsid w:val="005B7E4E"/>
    <w:rsid w:val="00606CAC"/>
    <w:rsid w:val="0064520F"/>
    <w:rsid w:val="00662925"/>
    <w:rsid w:val="006842C2"/>
    <w:rsid w:val="006941A8"/>
    <w:rsid w:val="006B4C14"/>
    <w:rsid w:val="0075484A"/>
    <w:rsid w:val="007958F4"/>
    <w:rsid w:val="007977EE"/>
    <w:rsid w:val="007A1A36"/>
    <w:rsid w:val="007F3AA6"/>
    <w:rsid w:val="00877614"/>
    <w:rsid w:val="00881EA3"/>
    <w:rsid w:val="009262CC"/>
    <w:rsid w:val="00993646"/>
    <w:rsid w:val="009A624F"/>
    <w:rsid w:val="009A7A91"/>
    <w:rsid w:val="009B67C7"/>
    <w:rsid w:val="009C2105"/>
    <w:rsid w:val="009E5D0D"/>
    <w:rsid w:val="00AB68D4"/>
    <w:rsid w:val="00AD5A98"/>
    <w:rsid w:val="00AE1B4C"/>
    <w:rsid w:val="00AF2E5A"/>
    <w:rsid w:val="00B32804"/>
    <w:rsid w:val="00B401DC"/>
    <w:rsid w:val="00B47669"/>
    <w:rsid w:val="00B56A99"/>
    <w:rsid w:val="00BA5D2F"/>
    <w:rsid w:val="00BB1E39"/>
    <w:rsid w:val="00C67F1E"/>
    <w:rsid w:val="00CE0D84"/>
    <w:rsid w:val="00D10315"/>
    <w:rsid w:val="00D124C7"/>
    <w:rsid w:val="00D251A4"/>
    <w:rsid w:val="00D402C8"/>
    <w:rsid w:val="00DF5E1C"/>
    <w:rsid w:val="00E310F9"/>
    <w:rsid w:val="00E75DD5"/>
    <w:rsid w:val="00EE5E15"/>
    <w:rsid w:val="00F03D2C"/>
    <w:rsid w:val="00F261E0"/>
    <w:rsid w:val="00F32D12"/>
    <w:rsid w:val="00F34208"/>
    <w:rsid w:val="00F35810"/>
    <w:rsid w:val="00F933A0"/>
    <w:rsid w:val="00F95B88"/>
    <w:rsid w:val="00FA542C"/>
    <w:rsid w:val="02AF0D50"/>
    <w:rsid w:val="038F26A8"/>
    <w:rsid w:val="064F5E39"/>
    <w:rsid w:val="06987993"/>
    <w:rsid w:val="06A04E02"/>
    <w:rsid w:val="06BC733B"/>
    <w:rsid w:val="07C95CF0"/>
    <w:rsid w:val="08B6639E"/>
    <w:rsid w:val="090A732E"/>
    <w:rsid w:val="09395F07"/>
    <w:rsid w:val="0C2D18F6"/>
    <w:rsid w:val="0C74502C"/>
    <w:rsid w:val="0C9E435B"/>
    <w:rsid w:val="0E2424C2"/>
    <w:rsid w:val="0E4D5FDC"/>
    <w:rsid w:val="0E920D59"/>
    <w:rsid w:val="0EF6378D"/>
    <w:rsid w:val="0F4B438A"/>
    <w:rsid w:val="108F72CF"/>
    <w:rsid w:val="10FE35F1"/>
    <w:rsid w:val="131045CF"/>
    <w:rsid w:val="13C93A11"/>
    <w:rsid w:val="14B50337"/>
    <w:rsid w:val="15B90D9B"/>
    <w:rsid w:val="167D50E3"/>
    <w:rsid w:val="16D1773D"/>
    <w:rsid w:val="1715118A"/>
    <w:rsid w:val="171F23D0"/>
    <w:rsid w:val="172140B1"/>
    <w:rsid w:val="17D740F9"/>
    <w:rsid w:val="18407749"/>
    <w:rsid w:val="18605DE5"/>
    <w:rsid w:val="198E5D7A"/>
    <w:rsid w:val="19AE65EC"/>
    <w:rsid w:val="1AE828E6"/>
    <w:rsid w:val="1B1C7A57"/>
    <w:rsid w:val="1B80768D"/>
    <w:rsid w:val="1B934FF1"/>
    <w:rsid w:val="1C4645D0"/>
    <w:rsid w:val="1CC00DAD"/>
    <w:rsid w:val="1ECD61E9"/>
    <w:rsid w:val="1FB83C86"/>
    <w:rsid w:val="23191664"/>
    <w:rsid w:val="24F757CD"/>
    <w:rsid w:val="2616714B"/>
    <w:rsid w:val="28AB0525"/>
    <w:rsid w:val="292F1545"/>
    <w:rsid w:val="2A6D642C"/>
    <w:rsid w:val="2B121403"/>
    <w:rsid w:val="2B627ADB"/>
    <w:rsid w:val="2B7620B2"/>
    <w:rsid w:val="2B7F7663"/>
    <w:rsid w:val="2BF116F8"/>
    <w:rsid w:val="2C10540C"/>
    <w:rsid w:val="2CC6737D"/>
    <w:rsid w:val="2DC248E6"/>
    <w:rsid w:val="2DEE0CB6"/>
    <w:rsid w:val="2DF728E0"/>
    <w:rsid w:val="2E635145"/>
    <w:rsid w:val="2EB83630"/>
    <w:rsid w:val="2F327D37"/>
    <w:rsid w:val="3000208D"/>
    <w:rsid w:val="3068017B"/>
    <w:rsid w:val="316D5879"/>
    <w:rsid w:val="31731DEB"/>
    <w:rsid w:val="3244205C"/>
    <w:rsid w:val="32BE4D29"/>
    <w:rsid w:val="32C30A6D"/>
    <w:rsid w:val="335A39D9"/>
    <w:rsid w:val="33DB0823"/>
    <w:rsid w:val="33F01994"/>
    <w:rsid w:val="33FB321D"/>
    <w:rsid w:val="34F41330"/>
    <w:rsid w:val="351C2CE5"/>
    <w:rsid w:val="351D0974"/>
    <w:rsid w:val="3595191B"/>
    <w:rsid w:val="36192435"/>
    <w:rsid w:val="3788046B"/>
    <w:rsid w:val="3A0A3491"/>
    <w:rsid w:val="3B174B7D"/>
    <w:rsid w:val="3B5D02B1"/>
    <w:rsid w:val="3B8F4524"/>
    <w:rsid w:val="3CC145BF"/>
    <w:rsid w:val="3CCE34CE"/>
    <w:rsid w:val="3D0362BE"/>
    <w:rsid w:val="3DF91E60"/>
    <w:rsid w:val="3F0516CF"/>
    <w:rsid w:val="3F907822"/>
    <w:rsid w:val="41393424"/>
    <w:rsid w:val="41C71EA2"/>
    <w:rsid w:val="41C85B1F"/>
    <w:rsid w:val="4297065D"/>
    <w:rsid w:val="43BB2110"/>
    <w:rsid w:val="444A2148"/>
    <w:rsid w:val="45796A8A"/>
    <w:rsid w:val="45852BBC"/>
    <w:rsid w:val="46E134C6"/>
    <w:rsid w:val="48846629"/>
    <w:rsid w:val="48B64424"/>
    <w:rsid w:val="48BC1AE9"/>
    <w:rsid w:val="4938627E"/>
    <w:rsid w:val="49E403DD"/>
    <w:rsid w:val="4B0C2D59"/>
    <w:rsid w:val="4C374E2B"/>
    <w:rsid w:val="4D773D37"/>
    <w:rsid w:val="4D8F39B7"/>
    <w:rsid w:val="4DC7795F"/>
    <w:rsid w:val="4DCD24F0"/>
    <w:rsid w:val="4DD679BB"/>
    <w:rsid w:val="4E8E2CB9"/>
    <w:rsid w:val="4F4B5663"/>
    <w:rsid w:val="4FE1098A"/>
    <w:rsid w:val="4FE84502"/>
    <w:rsid w:val="50DA06FD"/>
    <w:rsid w:val="51642303"/>
    <w:rsid w:val="535B1C6C"/>
    <w:rsid w:val="53B63635"/>
    <w:rsid w:val="54F72FD6"/>
    <w:rsid w:val="555720C9"/>
    <w:rsid w:val="558E7E27"/>
    <w:rsid w:val="56DE5525"/>
    <w:rsid w:val="57E029F3"/>
    <w:rsid w:val="58E306E1"/>
    <w:rsid w:val="59050C34"/>
    <w:rsid w:val="591F1927"/>
    <w:rsid w:val="5A0929FE"/>
    <w:rsid w:val="5A3B24DB"/>
    <w:rsid w:val="5A807916"/>
    <w:rsid w:val="5B4D5290"/>
    <w:rsid w:val="5B4D7F11"/>
    <w:rsid w:val="5CBE3A51"/>
    <w:rsid w:val="5D6B01A3"/>
    <w:rsid w:val="5DB226B9"/>
    <w:rsid w:val="5E005444"/>
    <w:rsid w:val="5EA73109"/>
    <w:rsid w:val="5F5A1C09"/>
    <w:rsid w:val="61B7774F"/>
    <w:rsid w:val="62D47345"/>
    <w:rsid w:val="62FB5527"/>
    <w:rsid w:val="646060B2"/>
    <w:rsid w:val="64A02626"/>
    <w:rsid w:val="654A165E"/>
    <w:rsid w:val="65C52884"/>
    <w:rsid w:val="67432E94"/>
    <w:rsid w:val="684974C8"/>
    <w:rsid w:val="68D53B49"/>
    <w:rsid w:val="69B17059"/>
    <w:rsid w:val="6A0466C0"/>
    <w:rsid w:val="6A635367"/>
    <w:rsid w:val="6BC62D80"/>
    <w:rsid w:val="6BFB4E88"/>
    <w:rsid w:val="6C8379B0"/>
    <w:rsid w:val="6CD64211"/>
    <w:rsid w:val="6CFD2B1A"/>
    <w:rsid w:val="6D5879DB"/>
    <w:rsid w:val="6E1042D9"/>
    <w:rsid w:val="6E9767E0"/>
    <w:rsid w:val="6F07071C"/>
    <w:rsid w:val="6F506472"/>
    <w:rsid w:val="705A5CD5"/>
    <w:rsid w:val="70DE2E4E"/>
    <w:rsid w:val="7136141D"/>
    <w:rsid w:val="72AB6C13"/>
    <w:rsid w:val="72ED1C9C"/>
    <w:rsid w:val="730C1FAE"/>
    <w:rsid w:val="7338392C"/>
    <w:rsid w:val="738A53E9"/>
    <w:rsid w:val="739B1FB0"/>
    <w:rsid w:val="73A03F55"/>
    <w:rsid w:val="73E04245"/>
    <w:rsid w:val="7424676D"/>
    <w:rsid w:val="74961D43"/>
    <w:rsid w:val="7502130E"/>
    <w:rsid w:val="757F6CCB"/>
    <w:rsid w:val="76E935EC"/>
    <w:rsid w:val="77B51626"/>
    <w:rsid w:val="798B2326"/>
    <w:rsid w:val="79A008A4"/>
    <w:rsid w:val="7AF80033"/>
    <w:rsid w:val="7D1B208A"/>
    <w:rsid w:val="7D790212"/>
    <w:rsid w:val="7ED82FCE"/>
    <w:rsid w:val="7FF78E8B"/>
    <w:rsid w:val="DFEEAC96"/>
    <w:rsid w:val="F7FAD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表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1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字符"/>
    <w:basedOn w:val="7"/>
    <w:link w:val="6"/>
    <w:qFormat/>
    <w:uiPriority w:val="0"/>
    <w:rPr>
      <w:kern w:val="2"/>
      <w:sz w:val="18"/>
      <w:szCs w:val="18"/>
    </w:rPr>
  </w:style>
  <w:style w:type="character" w:customStyle="1" w:styleId="12">
    <w:name w:val="页脚 字符"/>
    <w:basedOn w:val="7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602</Words>
  <Characters>3436</Characters>
  <Lines>28</Lines>
  <Paragraphs>8</Paragraphs>
  <TotalTime>2</TotalTime>
  <ScaleCrop>false</ScaleCrop>
  <LinksUpToDate>false</LinksUpToDate>
  <CharactersWithSpaces>4030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2023-05-02T13:15:00Z</dcterms:created>
  <dc:creator>夏海燕</dc:creator>
  <cp:lastModifiedBy>陈雷</cp:lastModifiedBy>
  <dcterms:modified xsi:type="dcterms:W3CDTF">2024-11-04T08:06:57Z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C047120211A16BDE0CB25F637EB194B6</vt:lpwstr>
  </property>
</Properties>
</file>