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F788A">
      <w:pPr>
        <w:spacing w:before="156" w:beforeLines="50" w:after="156" w:afterLines="50" w:line="400" w:lineRule="exact"/>
        <w:rPr>
          <w:rFonts w:ascii="宋体" w:hAnsi="宋体"/>
          <w:bCs/>
          <w:iCs/>
          <w:color w:val="000000"/>
          <w:sz w:val="24"/>
        </w:rPr>
      </w:pPr>
      <w:r>
        <w:rPr>
          <w:rFonts w:hint="default" w:ascii="Times New Roman" w:hAnsi="Times New Roman" w:cs="Times New Roman"/>
          <w:bCs/>
          <w:iCs/>
          <w:color w:val="000000"/>
          <w:sz w:val="24"/>
        </w:rPr>
        <w:t>证券代码：603602                                  证券简称：纵横通信</w:t>
      </w:r>
    </w:p>
    <w:p w14:paraId="758AF3E4">
      <w:pPr>
        <w:spacing w:before="156" w:beforeLines="50" w:after="156" w:afterLines="50" w:line="400" w:lineRule="exact"/>
        <w:jc w:val="center"/>
        <w:rPr>
          <w:rFonts w:ascii="宋体" w:hAnsi="宋体"/>
          <w:b/>
          <w:bCs/>
          <w:iCs/>
          <w:color w:val="000000"/>
          <w:sz w:val="32"/>
          <w:szCs w:val="32"/>
        </w:rPr>
      </w:pPr>
      <w:bookmarkStart w:id="0" w:name="OLE_LINK1"/>
      <w:bookmarkStart w:id="1" w:name="OLE_LINK2"/>
    </w:p>
    <w:p w14:paraId="58E805B3">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杭州纵横通信股份有限公司投资者关系活动记录表</w:t>
      </w:r>
    </w:p>
    <w:bookmarkEnd w:id="0"/>
    <w:bookmarkEnd w:id="1"/>
    <w:p w14:paraId="23811D21">
      <w:pPr>
        <w:spacing w:line="400" w:lineRule="exact"/>
        <w:rPr>
          <w:rFonts w:ascii="宋体" w:hAnsi="宋体"/>
          <w:bCs/>
          <w:iCs/>
          <w:color w:val="000000"/>
          <w:sz w:val="24"/>
        </w:rPr>
      </w:pPr>
      <w:r>
        <w:rPr>
          <w:rFonts w:hint="eastAsia" w:ascii="宋体" w:hAnsi="宋体"/>
          <w:bCs/>
          <w:iCs/>
          <w:color w:val="000000"/>
          <w:sz w:val="24"/>
        </w:rPr>
        <w:t xml:space="preserve">                                                      </w:t>
      </w:r>
      <w:r>
        <w:rPr>
          <w:rFonts w:hint="default" w:ascii="Times New Roman" w:hAnsi="Times New Roman"/>
          <w:bCs/>
          <w:iCs/>
          <w:color w:val="000000"/>
          <w:sz w:val="24"/>
        </w:rPr>
        <w:t xml:space="preserve">  编号：2024-003</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6589"/>
      </w:tblGrid>
      <w:tr w14:paraId="4308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tcBorders>
              <w:top w:val="single" w:color="auto" w:sz="4" w:space="0"/>
              <w:left w:val="single" w:color="auto" w:sz="4" w:space="0"/>
              <w:bottom w:val="single" w:color="auto" w:sz="4" w:space="0"/>
              <w:right w:val="single" w:color="auto" w:sz="4" w:space="0"/>
            </w:tcBorders>
          </w:tcPr>
          <w:p w14:paraId="50C14728">
            <w:pPr>
              <w:spacing w:line="480" w:lineRule="atLeast"/>
              <w:rPr>
                <w:rFonts w:hint="default" w:ascii="Times New Roman" w:hAnsi="Times New Roman" w:cs="Times New Roman"/>
                <w:b/>
                <w:bCs/>
                <w:iCs/>
                <w:color w:val="000000"/>
                <w:sz w:val="24"/>
              </w:rPr>
            </w:pPr>
            <w:r>
              <w:rPr>
                <w:rFonts w:hint="default" w:ascii="Times New Roman" w:hAnsi="Times New Roman" w:cs="Times New Roman"/>
                <w:b/>
                <w:bCs/>
                <w:iCs/>
                <w:color w:val="000000"/>
                <w:sz w:val="24"/>
              </w:rPr>
              <w:t>投资者关系活动类别</w:t>
            </w:r>
          </w:p>
          <w:p w14:paraId="3C0D20F0">
            <w:pPr>
              <w:spacing w:line="480" w:lineRule="atLeast"/>
              <w:rPr>
                <w:rFonts w:hint="default" w:ascii="Times New Roman" w:hAnsi="Times New Roman" w:cs="Times New Roman"/>
                <w:b/>
                <w:bCs/>
                <w:iCs/>
                <w:color w:val="000000"/>
                <w:sz w:val="24"/>
              </w:rPr>
            </w:pPr>
          </w:p>
        </w:tc>
        <w:tc>
          <w:tcPr>
            <w:tcW w:w="6589" w:type="dxa"/>
            <w:tcBorders>
              <w:top w:val="single" w:color="auto" w:sz="4" w:space="0"/>
              <w:left w:val="single" w:color="auto" w:sz="4" w:space="0"/>
              <w:bottom w:val="single" w:color="auto" w:sz="4" w:space="0"/>
              <w:right w:val="single" w:color="auto" w:sz="4" w:space="0"/>
            </w:tcBorders>
          </w:tcPr>
          <w:p w14:paraId="294815C9">
            <w:pPr>
              <w:spacing w:line="480" w:lineRule="atLeast"/>
              <w:rPr>
                <w:rFonts w:hint="default" w:ascii="Times New Roman" w:hAnsi="Times New Roman" w:cs="Times New Roman"/>
                <w:bCs/>
                <w:iCs/>
                <w:color w:val="000000"/>
                <w:sz w:val="24"/>
              </w:rPr>
            </w:pPr>
            <w:r>
              <w:rPr>
                <w:rFonts w:hint="default" w:ascii="Times New Roman" w:hAnsi="Times New Roman" w:cs="Times New Roman"/>
                <w:b/>
                <w:sz w:val="24"/>
              </w:rPr>
              <w:t>√特定对象调研</w:t>
            </w:r>
            <w:r>
              <w:rPr>
                <w:rFonts w:hint="default" w:ascii="Times New Roman" w:hAnsi="Times New Roman" w:cs="Times New Roman"/>
                <w:sz w:val="24"/>
              </w:rPr>
              <w:t xml:space="preserve">        </w:t>
            </w:r>
            <w:r>
              <w:rPr>
                <w:rFonts w:hint="default" w:ascii="Times New Roman" w:hAnsi="Times New Roman" w:cs="Times New Roman"/>
                <w:bCs/>
                <w:iCs/>
                <w:color w:val="000000"/>
                <w:sz w:val="24"/>
              </w:rPr>
              <w:t>□</w:t>
            </w:r>
            <w:r>
              <w:rPr>
                <w:rFonts w:hint="default" w:ascii="Times New Roman" w:hAnsi="Times New Roman" w:cs="Times New Roman"/>
                <w:sz w:val="24"/>
              </w:rPr>
              <w:t>分析师会议</w:t>
            </w:r>
          </w:p>
          <w:p w14:paraId="38304184">
            <w:pPr>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w:t>
            </w:r>
            <w:r>
              <w:rPr>
                <w:rFonts w:hint="default" w:ascii="Times New Roman" w:hAnsi="Times New Roman" w:cs="Times New Roman"/>
                <w:sz w:val="24"/>
              </w:rPr>
              <w:t xml:space="preserve">媒体采访            </w:t>
            </w:r>
            <w:r>
              <w:rPr>
                <w:rFonts w:hint="default" w:ascii="Times New Roman" w:hAnsi="Times New Roman" w:cs="Times New Roman"/>
                <w:bCs/>
                <w:iCs/>
                <w:color w:val="000000"/>
                <w:sz w:val="24"/>
              </w:rPr>
              <w:t>□</w:t>
            </w:r>
            <w:r>
              <w:rPr>
                <w:rFonts w:hint="default" w:ascii="Times New Roman" w:hAnsi="Times New Roman" w:cs="Times New Roman"/>
                <w:sz w:val="24"/>
              </w:rPr>
              <w:t>业绩说明会</w:t>
            </w:r>
          </w:p>
          <w:p w14:paraId="22D89D93">
            <w:pPr>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w:t>
            </w:r>
            <w:r>
              <w:rPr>
                <w:rFonts w:hint="default" w:ascii="Times New Roman" w:hAnsi="Times New Roman" w:cs="Times New Roman"/>
                <w:sz w:val="24"/>
              </w:rPr>
              <w:t xml:space="preserve">新闻发布会          </w:t>
            </w:r>
            <w:r>
              <w:rPr>
                <w:rFonts w:hint="default" w:ascii="Times New Roman" w:hAnsi="Times New Roman" w:cs="Times New Roman"/>
                <w:bCs/>
                <w:iCs/>
                <w:color w:val="000000"/>
                <w:sz w:val="24"/>
              </w:rPr>
              <w:t>□</w:t>
            </w:r>
            <w:r>
              <w:rPr>
                <w:rFonts w:hint="default" w:ascii="Times New Roman" w:hAnsi="Times New Roman" w:cs="Times New Roman"/>
                <w:sz w:val="24"/>
              </w:rPr>
              <w:t>路演活动</w:t>
            </w:r>
          </w:p>
          <w:p w14:paraId="19582297">
            <w:pPr>
              <w:tabs>
                <w:tab w:val="left" w:pos="3045"/>
                <w:tab w:val="center" w:pos="3199"/>
              </w:tabs>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w:t>
            </w:r>
            <w:r>
              <w:rPr>
                <w:rFonts w:hint="default" w:ascii="Times New Roman" w:hAnsi="Times New Roman" w:cs="Times New Roman"/>
                <w:sz w:val="24"/>
              </w:rPr>
              <w:t>现场参观</w:t>
            </w:r>
            <w:r>
              <w:rPr>
                <w:rFonts w:hint="default" w:ascii="Times New Roman" w:hAnsi="Times New Roman" w:cs="Times New Roman"/>
                <w:bCs/>
                <w:iCs/>
                <w:color w:val="000000"/>
                <w:sz w:val="24"/>
              </w:rPr>
              <w:tab/>
            </w:r>
          </w:p>
          <w:p w14:paraId="2BFD33BF">
            <w:pPr>
              <w:tabs>
                <w:tab w:val="center" w:pos="3199"/>
              </w:tabs>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w:t>
            </w:r>
            <w:r>
              <w:rPr>
                <w:rFonts w:hint="default" w:ascii="Times New Roman" w:hAnsi="Times New Roman" w:cs="Times New Roman"/>
                <w:sz w:val="24"/>
              </w:rPr>
              <w:t>其他</w:t>
            </w:r>
          </w:p>
        </w:tc>
      </w:tr>
      <w:tr w14:paraId="1F45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tcBorders>
              <w:top w:val="single" w:color="auto" w:sz="4" w:space="0"/>
              <w:left w:val="single" w:color="auto" w:sz="4" w:space="0"/>
              <w:bottom w:val="single" w:color="auto" w:sz="4" w:space="0"/>
              <w:right w:val="single" w:color="auto" w:sz="4" w:space="0"/>
            </w:tcBorders>
          </w:tcPr>
          <w:p w14:paraId="50BFA36E">
            <w:pPr>
              <w:spacing w:line="480" w:lineRule="atLeast"/>
              <w:rPr>
                <w:rFonts w:hint="default" w:ascii="Times New Roman" w:hAnsi="Times New Roman" w:cs="Times New Roman"/>
                <w:b/>
                <w:bCs/>
                <w:iCs/>
                <w:color w:val="000000"/>
                <w:sz w:val="24"/>
              </w:rPr>
            </w:pPr>
            <w:r>
              <w:rPr>
                <w:rFonts w:hint="default" w:ascii="Times New Roman" w:hAnsi="Times New Roman" w:cs="Times New Roman"/>
                <w:b/>
                <w:bCs/>
                <w:iCs/>
                <w:color w:val="000000"/>
                <w:sz w:val="24"/>
              </w:rPr>
              <w:t>参与单位名称</w:t>
            </w:r>
          </w:p>
        </w:tc>
        <w:tc>
          <w:tcPr>
            <w:tcW w:w="6589" w:type="dxa"/>
            <w:tcBorders>
              <w:top w:val="single" w:color="auto" w:sz="4" w:space="0"/>
              <w:left w:val="single" w:color="auto" w:sz="4" w:space="0"/>
              <w:bottom w:val="single" w:color="auto" w:sz="4" w:space="0"/>
              <w:right w:val="single" w:color="auto" w:sz="4" w:space="0"/>
            </w:tcBorders>
          </w:tcPr>
          <w:p w14:paraId="013F290C">
            <w:pPr>
              <w:autoSpaceDE w:val="0"/>
              <w:autoSpaceDN w:val="0"/>
              <w:adjustRightInd w:val="0"/>
              <w:spacing w:line="360" w:lineRule="auto"/>
              <w:jc w:val="left"/>
              <w:rPr>
                <w:rFonts w:hint="default" w:ascii="Times New Roman" w:hAnsi="Times New Roman" w:cs="Times New Roman"/>
                <w:bCs/>
                <w:iCs/>
                <w:color w:val="000000"/>
                <w:sz w:val="24"/>
              </w:rPr>
            </w:pPr>
            <w:r>
              <w:rPr>
                <w:rFonts w:hint="default" w:ascii="Times New Roman" w:hAnsi="Times New Roman" w:cs="Times New Roman"/>
                <w:bCs/>
                <w:iCs/>
                <w:color w:val="000000"/>
                <w:sz w:val="24"/>
              </w:rPr>
              <w:t>浙商证券、弈宸投资、国元证券、淳阳基金、蜂投基金、德邦基金、隆顺投资、迅安投资、壁虎投资、成阳资产、澜胜基金、丰汇投资、汉鸿基金、立元基金、臻垚资产、君弘资产、晖鸿投资、品润投资、中谦资产、青月资产、重鼎资产、鼎森投资、淡然资产、赢利基金、具力定成基金、久胜基金、天合昆泰投资、汇蔚基金、银万基金、国科龙晖基金、西部证券、附加值投资、亘曦资产、个人投资者（以上排名不分先后）</w:t>
            </w:r>
          </w:p>
        </w:tc>
      </w:tr>
      <w:tr w14:paraId="67377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tcBorders>
              <w:top w:val="single" w:color="auto" w:sz="4" w:space="0"/>
              <w:left w:val="single" w:color="auto" w:sz="4" w:space="0"/>
              <w:bottom w:val="single" w:color="auto" w:sz="4" w:space="0"/>
              <w:right w:val="single" w:color="auto" w:sz="4" w:space="0"/>
            </w:tcBorders>
          </w:tcPr>
          <w:p w14:paraId="643AB972">
            <w:pPr>
              <w:spacing w:line="480" w:lineRule="atLeast"/>
              <w:rPr>
                <w:rFonts w:hint="default" w:ascii="Times New Roman" w:hAnsi="Times New Roman" w:cs="Times New Roman"/>
                <w:b/>
                <w:bCs/>
                <w:iCs/>
                <w:color w:val="000000"/>
                <w:sz w:val="24"/>
              </w:rPr>
            </w:pPr>
            <w:r>
              <w:rPr>
                <w:rFonts w:hint="default" w:ascii="Times New Roman" w:hAnsi="Times New Roman" w:cs="Times New Roman"/>
                <w:b/>
                <w:bCs/>
                <w:iCs/>
                <w:color w:val="000000"/>
                <w:sz w:val="24"/>
              </w:rPr>
              <w:t>时间</w:t>
            </w:r>
          </w:p>
        </w:tc>
        <w:tc>
          <w:tcPr>
            <w:tcW w:w="6589" w:type="dxa"/>
            <w:tcBorders>
              <w:top w:val="single" w:color="auto" w:sz="4" w:space="0"/>
              <w:left w:val="single" w:color="auto" w:sz="4" w:space="0"/>
              <w:bottom w:val="single" w:color="auto" w:sz="4" w:space="0"/>
              <w:right w:val="single" w:color="auto" w:sz="4" w:space="0"/>
            </w:tcBorders>
            <w:vAlign w:val="center"/>
          </w:tcPr>
          <w:p w14:paraId="01992C7F">
            <w:pPr>
              <w:spacing w:line="480" w:lineRule="atLeast"/>
              <w:rPr>
                <w:rFonts w:hint="default" w:ascii="Times New Roman" w:hAnsi="Times New Roman" w:eastAsia="宋体" w:cs="Times New Roman"/>
                <w:bCs/>
                <w:iCs/>
                <w:color w:val="000000"/>
                <w:sz w:val="24"/>
                <w:lang w:val="en-US" w:eastAsia="zh-CN"/>
              </w:rPr>
            </w:pPr>
            <w:r>
              <w:rPr>
                <w:rFonts w:hint="default" w:ascii="Times New Roman" w:hAnsi="Times New Roman" w:cs="Times New Roman"/>
                <w:bCs/>
                <w:iCs/>
                <w:color w:val="000000"/>
                <w:sz w:val="24"/>
              </w:rPr>
              <w:t>2024年10月</w:t>
            </w:r>
            <w:r>
              <w:rPr>
                <w:rFonts w:hint="eastAsia" w:cs="Times New Roman"/>
                <w:bCs/>
                <w:iCs/>
                <w:color w:val="000000"/>
                <w:sz w:val="24"/>
                <w:lang w:val="en-US" w:eastAsia="zh-CN"/>
              </w:rPr>
              <w:t>30日</w:t>
            </w:r>
          </w:p>
        </w:tc>
      </w:tr>
      <w:tr w14:paraId="330A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tcBorders>
              <w:top w:val="single" w:color="auto" w:sz="4" w:space="0"/>
              <w:left w:val="single" w:color="auto" w:sz="4" w:space="0"/>
              <w:bottom w:val="single" w:color="auto" w:sz="4" w:space="0"/>
              <w:right w:val="single" w:color="auto" w:sz="4" w:space="0"/>
            </w:tcBorders>
          </w:tcPr>
          <w:p w14:paraId="65934E98">
            <w:pPr>
              <w:spacing w:line="480" w:lineRule="atLeast"/>
              <w:rPr>
                <w:rFonts w:hint="default" w:ascii="Times New Roman" w:hAnsi="Times New Roman" w:cs="Times New Roman"/>
                <w:b/>
                <w:bCs/>
                <w:iCs/>
                <w:color w:val="000000"/>
                <w:sz w:val="24"/>
              </w:rPr>
            </w:pPr>
            <w:r>
              <w:rPr>
                <w:rFonts w:hint="default" w:ascii="Times New Roman" w:hAnsi="Times New Roman" w:cs="Times New Roman"/>
                <w:b/>
                <w:bCs/>
                <w:iCs/>
                <w:color w:val="000000"/>
                <w:sz w:val="24"/>
              </w:rPr>
              <w:t>地点</w:t>
            </w:r>
          </w:p>
        </w:tc>
        <w:tc>
          <w:tcPr>
            <w:tcW w:w="6589" w:type="dxa"/>
            <w:tcBorders>
              <w:top w:val="single" w:color="auto" w:sz="4" w:space="0"/>
              <w:left w:val="single" w:color="auto" w:sz="4" w:space="0"/>
              <w:bottom w:val="single" w:color="auto" w:sz="4" w:space="0"/>
              <w:right w:val="single" w:color="auto" w:sz="4" w:space="0"/>
            </w:tcBorders>
            <w:vAlign w:val="center"/>
          </w:tcPr>
          <w:p w14:paraId="0E274D3E">
            <w:pPr>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公司会议室</w:t>
            </w:r>
          </w:p>
        </w:tc>
      </w:tr>
      <w:tr w14:paraId="1D52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tcBorders>
              <w:top w:val="single" w:color="auto" w:sz="4" w:space="0"/>
              <w:left w:val="single" w:color="auto" w:sz="4" w:space="0"/>
              <w:bottom w:val="single" w:color="auto" w:sz="4" w:space="0"/>
              <w:right w:val="single" w:color="auto" w:sz="4" w:space="0"/>
            </w:tcBorders>
          </w:tcPr>
          <w:p w14:paraId="461F033F">
            <w:pPr>
              <w:spacing w:line="480" w:lineRule="atLeast"/>
              <w:rPr>
                <w:rFonts w:hint="default" w:ascii="Times New Roman" w:hAnsi="Times New Roman" w:cs="Times New Roman"/>
                <w:b/>
                <w:bCs/>
                <w:iCs/>
                <w:color w:val="000000"/>
                <w:sz w:val="24"/>
              </w:rPr>
            </w:pPr>
            <w:r>
              <w:rPr>
                <w:rFonts w:hint="default" w:ascii="Times New Roman" w:hAnsi="Times New Roman" w:cs="Times New Roman"/>
                <w:b/>
                <w:bCs/>
                <w:iCs/>
                <w:color w:val="000000"/>
                <w:sz w:val="24"/>
              </w:rPr>
              <w:t>上市公司接待人员姓名</w:t>
            </w:r>
          </w:p>
        </w:tc>
        <w:tc>
          <w:tcPr>
            <w:tcW w:w="6589" w:type="dxa"/>
            <w:tcBorders>
              <w:top w:val="single" w:color="auto" w:sz="4" w:space="0"/>
              <w:left w:val="single" w:color="auto" w:sz="4" w:space="0"/>
              <w:bottom w:val="single" w:color="auto" w:sz="4" w:space="0"/>
              <w:right w:val="single" w:color="auto" w:sz="4" w:space="0"/>
            </w:tcBorders>
            <w:vAlign w:val="center"/>
          </w:tcPr>
          <w:p w14:paraId="44B8E9E0">
            <w:pPr>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董事长 苏维锋</w:t>
            </w:r>
          </w:p>
          <w:p w14:paraId="79D6115A">
            <w:pPr>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常务副总经理 虞杲</w:t>
            </w:r>
          </w:p>
          <w:p w14:paraId="0F940F5F">
            <w:pPr>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董事会秘书、财务负责人 朱劲龙</w:t>
            </w:r>
          </w:p>
          <w:p w14:paraId="62A8B848">
            <w:pPr>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狮尾智能CEO 施维</w:t>
            </w:r>
          </w:p>
          <w:p w14:paraId="3E751EE2">
            <w:pPr>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战略发展部总经理 龚鹰武</w:t>
            </w:r>
          </w:p>
        </w:tc>
      </w:tr>
      <w:tr w14:paraId="6FA9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1933" w:type="dxa"/>
            <w:tcBorders>
              <w:top w:val="single" w:color="auto" w:sz="4" w:space="0"/>
              <w:left w:val="single" w:color="auto" w:sz="4" w:space="0"/>
              <w:bottom w:val="single" w:color="auto" w:sz="4" w:space="0"/>
              <w:right w:val="single" w:color="auto" w:sz="4" w:space="0"/>
            </w:tcBorders>
            <w:vAlign w:val="center"/>
          </w:tcPr>
          <w:p w14:paraId="2534094E">
            <w:pPr>
              <w:spacing w:line="480" w:lineRule="atLeast"/>
              <w:rPr>
                <w:rFonts w:hint="default" w:ascii="Times New Roman" w:hAnsi="Times New Roman" w:cs="Times New Roman"/>
                <w:b/>
                <w:bCs/>
                <w:iCs/>
                <w:color w:val="000000"/>
                <w:sz w:val="24"/>
              </w:rPr>
            </w:pPr>
            <w:r>
              <w:rPr>
                <w:rFonts w:hint="default" w:ascii="Times New Roman" w:hAnsi="Times New Roman" w:cs="Times New Roman"/>
                <w:b/>
                <w:bCs/>
                <w:iCs/>
                <w:color w:val="000000"/>
                <w:sz w:val="24"/>
              </w:rPr>
              <w:t>投资者关系活动主要内容介绍</w:t>
            </w:r>
          </w:p>
        </w:tc>
        <w:tc>
          <w:tcPr>
            <w:tcW w:w="6589" w:type="dxa"/>
            <w:tcBorders>
              <w:top w:val="single" w:color="auto" w:sz="4" w:space="0"/>
              <w:left w:val="single" w:color="auto" w:sz="4" w:space="0"/>
              <w:bottom w:val="single" w:color="auto" w:sz="4" w:space="0"/>
              <w:right w:val="single" w:color="auto" w:sz="4" w:space="0"/>
            </w:tcBorders>
          </w:tcPr>
          <w:p w14:paraId="06E0015B">
            <w:pPr>
              <w:numPr>
                <w:ilvl w:val="0"/>
                <w:numId w:val="1"/>
              </w:numPr>
              <w:spacing w:line="360" w:lineRule="auto"/>
              <w:rPr>
                <w:rFonts w:hint="default" w:ascii="Times New Roman" w:hAnsi="Times New Roman" w:cs="Times New Roman"/>
                <w:b/>
                <w:bCs/>
                <w:sz w:val="24"/>
                <w:szCs w:val="28"/>
              </w:rPr>
            </w:pPr>
            <w:r>
              <w:rPr>
                <w:rFonts w:hint="default" w:ascii="Times New Roman" w:hAnsi="Times New Roman" w:cs="Times New Roman"/>
                <w:b/>
                <w:bCs/>
                <w:sz w:val="24"/>
                <w:szCs w:val="28"/>
              </w:rPr>
              <w:t>主要问答情况</w:t>
            </w:r>
          </w:p>
          <w:p w14:paraId="3358014D">
            <w:pPr>
              <w:spacing w:line="360" w:lineRule="auto"/>
              <w:rPr>
                <w:rFonts w:hint="default" w:ascii="Times New Roman" w:hAnsi="Times New Roman" w:cs="Times New Roman"/>
                <w:b/>
                <w:bCs/>
                <w:sz w:val="24"/>
                <w:szCs w:val="28"/>
              </w:rPr>
            </w:pPr>
            <w:r>
              <w:rPr>
                <w:rFonts w:hint="default" w:ascii="Times New Roman" w:hAnsi="Times New Roman" w:cs="Times New Roman"/>
                <w:b/>
                <w:bCs/>
                <w:sz w:val="24"/>
                <w:szCs w:val="28"/>
              </w:rPr>
              <w:t>1、纵横通信为什么收购狮尾智能？为什么切入低空业务？</w:t>
            </w:r>
          </w:p>
          <w:p w14:paraId="6AB709DD">
            <w:pPr>
              <w:spacing w:line="360" w:lineRule="auto"/>
              <w:ind w:firstLine="420"/>
              <w:rPr>
                <w:rFonts w:hint="default" w:ascii="Times New Roman" w:hAnsi="Times New Roman" w:cs="Times New Roman"/>
                <w:sz w:val="24"/>
                <w:szCs w:val="28"/>
              </w:rPr>
            </w:pPr>
            <w:r>
              <w:rPr>
                <w:rFonts w:hint="default" w:ascii="Times New Roman" w:hAnsi="Times New Roman" w:cs="Times New Roman"/>
                <w:sz w:val="24"/>
                <w:szCs w:val="28"/>
              </w:rPr>
              <w:t>电信运营商为低空经济发展主力军之一，纵横深耕通信服务领域多年，与运营商有较为深入的合作，一直围绕运营商拓展业务。公司上市以来，在通信网络建设业务的基础上，公司针对运营商的营销口和政企口分别拓展出全域数字营销和政企行业数智化服务。目前低空经济为运营商重点布局方向之一，公司亦积极参与低空经济相关的5G-A建设以及通感一体化业务。</w:t>
            </w:r>
          </w:p>
          <w:p w14:paraId="79D4CEAA">
            <w:pPr>
              <w:spacing w:line="360" w:lineRule="auto"/>
              <w:ind w:firstLine="420"/>
              <w:rPr>
                <w:rFonts w:hint="default" w:ascii="Times New Roman" w:hAnsi="Times New Roman" w:cs="Times New Roman"/>
                <w:sz w:val="24"/>
                <w:szCs w:val="28"/>
              </w:rPr>
            </w:pPr>
            <w:r>
              <w:rPr>
                <w:rFonts w:hint="default" w:ascii="Times New Roman" w:hAnsi="Times New Roman" w:cs="Times New Roman"/>
                <w:sz w:val="24"/>
                <w:szCs w:val="28"/>
              </w:rPr>
              <w:t>公司看好低空经济万亿市场，为了深度参与低空经济业务，构筑企业在低空领域的核心竞争力，抓住低空经济发展的历史机遇，公司希望能与低空经济产业链上具有核心技术壁垒的公司联合。公司收购狮尾智能一方面是认可载人飞控技术的稀缺性，而狮尾智能团队有C919大飞机飞控研发经验，该经验为垂直起降飞行器（VTOL）、中大型无人机等飞行器的飞控研发奠定扎实基础，另一方面公司多年积累的政府和运营商资源能够赋能狮尾智能，拓展无人机应用业务，双方在技术和资源上相辅相成，希望能实现先进智能飞控系统的国产化。</w:t>
            </w:r>
          </w:p>
          <w:p w14:paraId="409BF6CF">
            <w:pPr>
              <w:numPr>
                <w:ilvl w:val="0"/>
                <w:numId w:val="2"/>
              </w:numPr>
              <w:spacing w:line="360" w:lineRule="auto"/>
              <w:rPr>
                <w:rFonts w:hint="default" w:ascii="Times New Roman" w:hAnsi="Times New Roman" w:cs="Times New Roman"/>
                <w:b/>
                <w:bCs/>
                <w:sz w:val="24"/>
                <w:szCs w:val="28"/>
              </w:rPr>
            </w:pPr>
            <w:r>
              <w:rPr>
                <w:rFonts w:hint="default" w:ascii="Times New Roman" w:hAnsi="Times New Roman" w:cs="Times New Roman"/>
                <w:b/>
                <w:bCs/>
                <w:sz w:val="24"/>
                <w:szCs w:val="28"/>
              </w:rPr>
              <w:t>狮尾智能目前和主机厂商合作的情况？</w:t>
            </w:r>
          </w:p>
          <w:p w14:paraId="51245CE7">
            <w:pPr>
              <w:spacing w:line="360" w:lineRule="auto"/>
              <w:ind w:firstLine="420"/>
              <w:rPr>
                <w:rFonts w:hint="default" w:ascii="Times New Roman" w:hAnsi="Times New Roman" w:cs="Times New Roman"/>
                <w:sz w:val="24"/>
                <w:szCs w:val="28"/>
              </w:rPr>
            </w:pPr>
            <w:r>
              <w:rPr>
                <w:rFonts w:hint="default" w:ascii="Times New Roman" w:hAnsi="Times New Roman" w:cs="Times New Roman"/>
                <w:sz w:val="24"/>
                <w:szCs w:val="28"/>
              </w:rPr>
              <w:t>狮尾智能为国内为数不多的从事载人飞控研发的企业，已和国内部分主机厂商进行技术交流和研讨并达成不同层面合作。</w:t>
            </w:r>
          </w:p>
          <w:p w14:paraId="374A025A">
            <w:pPr>
              <w:numPr>
                <w:ilvl w:val="0"/>
                <w:numId w:val="2"/>
              </w:numPr>
              <w:spacing w:line="360" w:lineRule="auto"/>
              <w:rPr>
                <w:rFonts w:hint="default" w:ascii="Times New Roman" w:hAnsi="Times New Roman" w:cs="Times New Roman"/>
                <w:b/>
                <w:bCs/>
                <w:sz w:val="24"/>
                <w:szCs w:val="28"/>
              </w:rPr>
            </w:pPr>
            <w:r>
              <w:rPr>
                <w:rFonts w:hint="default" w:ascii="Times New Roman" w:hAnsi="Times New Roman" w:cs="Times New Roman"/>
                <w:b/>
                <w:bCs/>
                <w:sz w:val="24"/>
                <w:szCs w:val="28"/>
              </w:rPr>
              <w:t>狮尾智能飞控的目标客户？</w:t>
            </w:r>
          </w:p>
          <w:p w14:paraId="0767DE63">
            <w:pPr>
              <w:spacing w:line="360" w:lineRule="auto"/>
              <w:ind w:firstLine="420" w:firstLineChars="175"/>
              <w:rPr>
                <w:rFonts w:hint="default" w:ascii="Times New Roman" w:hAnsi="Times New Roman" w:cs="Times New Roman"/>
                <w:sz w:val="24"/>
                <w:szCs w:val="28"/>
              </w:rPr>
            </w:pPr>
            <w:r>
              <w:rPr>
                <w:rFonts w:hint="default" w:ascii="Times New Roman" w:hAnsi="Times New Roman" w:cs="Times New Roman"/>
                <w:sz w:val="24"/>
                <w:szCs w:val="28"/>
              </w:rPr>
              <w:t>中大型无人机、通用航空飞行器、电动垂起（eVTOL）航空飞行器、未来还有可能涉及国产大型民机。</w:t>
            </w:r>
          </w:p>
          <w:p w14:paraId="2415AA9C">
            <w:pPr>
              <w:numPr>
                <w:ilvl w:val="0"/>
                <w:numId w:val="2"/>
              </w:numPr>
              <w:spacing w:line="360" w:lineRule="auto"/>
              <w:rPr>
                <w:rFonts w:hint="default" w:ascii="Times New Roman" w:hAnsi="Times New Roman" w:cs="Times New Roman"/>
                <w:b/>
                <w:bCs/>
                <w:sz w:val="24"/>
                <w:szCs w:val="28"/>
              </w:rPr>
            </w:pPr>
            <w:r>
              <w:rPr>
                <w:rFonts w:hint="default" w:ascii="Times New Roman" w:hAnsi="Times New Roman" w:cs="Times New Roman"/>
                <w:b/>
                <w:bCs/>
                <w:sz w:val="24"/>
                <w:szCs w:val="28"/>
              </w:rPr>
              <w:t>具体和主机厂商合作的内容、模式？</w:t>
            </w:r>
          </w:p>
          <w:p w14:paraId="51AC7E25">
            <w:pPr>
              <w:spacing w:line="360" w:lineRule="auto"/>
              <w:ind w:firstLine="420" w:firstLineChars="175"/>
              <w:rPr>
                <w:rFonts w:hint="default" w:ascii="Times New Roman" w:hAnsi="Times New Roman" w:cs="Times New Roman"/>
                <w:sz w:val="24"/>
                <w:szCs w:val="28"/>
              </w:rPr>
            </w:pPr>
            <w:r>
              <w:rPr>
                <w:rFonts w:hint="default" w:ascii="Times New Roman" w:hAnsi="Times New Roman" w:cs="Times New Roman"/>
                <w:sz w:val="24"/>
                <w:szCs w:val="28"/>
              </w:rPr>
              <w:t>每家主机厂商需求不一样，有些主机厂商会切分出一些专门技术包交由</w:t>
            </w:r>
            <w:r>
              <w:rPr>
                <w:rFonts w:hint="default" w:ascii="Times New Roman" w:hAnsi="Times New Roman" w:cs="Times New Roman"/>
                <w:sz w:val="24"/>
                <w:szCs w:val="28"/>
                <w:lang w:val="en-US" w:eastAsia="zh-CN"/>
              </w:rPr>
              <w:t>供应商</w:t>
            </w:r>
            <w:r>
              <w:rPr>
                <w:rFonts w:hint="default" w:ascii="Times New Roman" w:hAnsi="Times New Roman" w:cs="Times New Roman"/>
                <w:sz w:val="24"/>
                <w:szCs w:val="28"/>
              </w:rPr>
              <w:t xml:space="preserve">完成，比如飞行控制律的设计，适航取证等等，有一些主机厂商也会把整个飞控系统交给供应商研发。狮尾智能可根据不同情况提供飞控软件开发、测试验证平台或提供适航取证服务等。 </w:t>
            </w:r>
          </w:p>
          <w:p w14:paraId="098D1667">
            <w:pPr>
              <w:numPr>
                <w:ilvl w:val="0"/>
                <w:numId w:val="2"/>
              </w:numPr>
              <w:spacing w:line="360" w:lineRule="auto"/>
              <w:rPr>
                <w:rFonts w:hint="default" w:ascii="Times New Roman" w:hAnsi="Times New Roman" w:cs="Times New Roman"/>
                <w:b/>
                <w:bCs/>
                <w:sz w:val="24"/>
                <w:szCs w:val="28"/>
              </w:rPr>
            </w:pPr>
            <w:r>
              <w:rPr>
                <w:rFonts w:hint="default" w:ascii="Times New Roman" w:hAnsi="Times New Roman" w:cs="Times New Roman"/>
                <w:b/>
                <w:bCs/>
                <w:sz w:val="24"/>
                <w:szCs w:val="28"/>
              </w:rPr>
              <w:t>飞控技术的难点，载人飞控和无人机飞控的区别？</w:t>
            </w:r>
          </w:p>
          <w:p w14:paraId="5637F543">
            <w:pPr>
              <w:spacing w:line="360" w:lineRule="auto"/>
              <w:ind w:firstLine="420"/>
              <w:rPr>
                <w:rFonts w:hint="default" w:ascii="Times New Roman" w:hAnsi="Times New Roman" w:cs="Times New Roman"/>
                <w:sz w:val="24"/>
                <w:szCs w:val="28"/>
              </w:rPr>
            </w:pPr>
            <w:r>
              <w:rPr>
                <w:rFonts w:hint="default" w:ascii="Times New Roman" w:hAnsi="Times New Roman" w:cs="Times New Roman"/>
                <w:sz w:val="24"/>
                <w:szCs w:val="28"/>
              </w:rPr>
              <w:t>自主飞行是无人驾驶航空器的关键技术，难点在于高安全可靠性、智能程度和通用适配性。载人飞控系统要求灾难性事故概率低于10</w:t>
            </w:r>
            <w:r>
              <w:rPr>
                <w:rFonts w:hint="default" w:ascii="Times New Roman" w:hAnsi="Times New Roman" w:cs="Times New Roman"/>
                <w:sz w:val="24"/>
                <w:szCs w:val="28"/>
                <w:vertAlign w:val="superscript"/>
              </w:rPr>
              <w:t>-9</w:t>
            </w:r>
            <w:r>
              <w:rPr>
                <w:rFonts w:hint="default" w:ascii="Times New Roman" w:hAnsi="Times New Roman" w:cs="Times New Roman"/>
                <w:sz w:val="24"/>
                <w:szCs w:val="28"/>
              </w:rPr>
              <w:t>/飞行小时，相较目前无人机的飞控技术安全等级需提升几个数量级，高安全等级飞控系统和低安全等级飞控系统虽然原理相似，但两者在体系架构、设计逻辑、研发思路、研发体系等方面有巨大的差异，需要团队具备可适航认证等级飞控系统的研发经验。</w:t>
            </w:r>
          </w:p>
          <w:p w14:paraId="0FC45BC1">
            <w:pPr>
              <w:numPr>
                <w:ilvl w:val="0"/>
                <w:numId w:val="2"/>
              </w:numPr>
              <w:spacing w:line="360" w:lineRule="auto"/>
              <w:rPr>
                <w:rFonts w:hint="default" w:ascii="Times New Roman" w:hAnsi="Times New Roman" w:cs="Times New Roman"/>
                <w:b/>
                <w:bCs/>
                <w:sz w:val="24"/>
                <w:szCs w:val="28"/>
              </w:rPr>
            </w:pPr>
            <w:r>
              <w:rPr>
                <w:rFonts w:hint="default" w:ascii="Times New Roman" w:hAnsi="Times New Roman" w:cs="Times New Roman"/>
                <w:b/>
                <w:bCs/>
                <w:sz w:val="24"/>
                <w:szCs w:val="28"/>
              </w:rPr>
              <w:t>飞控是否可以独立取证？狮尾智能的飞控是否会独立取证？</w:t>
            </w:r>
          </w:p>
          <w:p w14:paraId="31A3AA72">
            <w:pPr>
              <w:spacing w:line="360" w:lineRule="auto"/>
              <w:ind w:firstLine="420"/>
              <w:rPr>
                <w:rFonts w:hint="default" w:ascii="Times New Roman" w:hAnsi="Times New Roman" w:cs="Times New Roman"/>
                <w:sz w:val="24"/>
                <w:szCs w:val="28"/>
              </w:rPr>
            </w:pPr>
            <w:r>
              <w:rPr>
                <w:rFonts w:hint="default" w:ascii="Times New Roman" w:hAnsi="Times New Roman" w:cs="Times New Roman"/>
                <w:sz w:val="24"/>
                <w:szCs w:val="28"/>
              </w:rPr>
              <w:t>CTSO（技术标准规定）是中国民航局（CAAC）颁布的、民用航空器上所用的特定零部件的最低性能标准。按照CCAR-21-R4 21.2B的定义，</w:t>
            </w:r>
            <w:r>
              <w:rPr>
                <w:rFonts w:hint="eastAsia" w:ascii="宋体" w:hAnsi="宋体" w:eastAsia="宋体" w:cs="宋体"/>
                <w:sz w:val="24"/>
                <w:szCs w:val="28"/>
              </w:rPr>
              <w:t>“</w:t>
            </w:r>
            <w:r>
              <w:rPr>
                <w:rFonts w:hint="default" w:ascii="Times New Roman" w:hAnsi="Times New Roman" w:cs="Times New Roman"/>
                <w:sz w:val="24"/>
                <w:szCs w:val="28"/>
              </w:rPr>
              <w:t>零部件</w:t>
            </w:r>
            <w:r>
              <w:rPr>
                <w:rFonts w:hint="eastAsia" w:ascii="宋体" w:hAnsi="宋体" w:eastAsia="宋体" w:cs="宋体"/>
                <w:sz w:val="24"/>
                <w:szCs w:val="28"/>
              </w:rPr>
              <w:t>”</w:t>
            </w:r>
            <w:r>
              <w:rPr>
                <w:rFonts w:hint="default" w:ascii="Times New Roman" w:hAnsi="Times New Roman" w:cs="Times New Roman"/>
                <w:sz w:val="24"/>
                <w:szCs w:val="28"/>
              </w:rPr>
              <w:t>是指任何用于民用航空产品或者拟在民用航空产品上使用和安装的材料、零件、部件、机载设备或者软件。对于一些零部件，为了便于适航当局对零部件的适航审定，各国适航当局颁发了特定的技术标准规定，为零部件制造商提供了设计/生产要求。随着航空技术产业的日益发展，几乎每年都会有新的技术标准规定被颁发，继而越来越多的TSO/CTSO件被应用于民用航空产品。</w:t>
            </w:r>
          </w:p>
          <w:p w14:paraId="466C8D52">
            <w:pPr>
              <w:spacing w:line="360" w:lineRule="auto"/>
              <w:ind w:firstLine="420"/>
              <w:rPr>
                <w:rFonts w:hint="default" w:ascii="Times New Roman" w:hAnsi="Times New Roman" w:cs="Times New Roman"/>
                <w:strike/>
                <w:sz w:val="24"/>
                <w:szCs w:val="28"/>
              </w:rPr>
            </w:pPr>
            <w:r>
              <w:rPr>
                <w:rFonts w:hint="default" w:ascii="Times New Roman" w:hAnsi="Times New Roman" w:cs="Times New Roman"/>
                <w:sz w:val="24"/>
                <w:szCs w:val="28"/>
              </w:rPr>
              <w:t>飞控底层模块通常会选择随机取证路线，自动飞行模块（Autopilot）有独立取证的路线。狮尾智能的飞控系统根据具体模块的不同，将采取独立取证和随机取证并行的方式，独立取证不依赖于制造商（OEM）但成本高，随机取证成本低但受合作制造商（OEM）影响大。</w:t>
            </w:r>
          </w:p>
          <w:p w14:paraId="21D6F014">
            <w:pPr>
              <w:numPr>
                <w:ilvl w:val="0"/>
                <w:numId w:val="2"/>
              </w:numPr>
              <w:spacing w:line="360" w:lineRule="auto"/>
              <w:rPr>
                <w:rFonts w:hint="default" w:ascii="Times New Roman" w:hAnsi="Times New Roman" w:cs="Times New Roman"/>
                <w:b/>
                <w:bCs/>
                <w:sz w:val="24"/>
                <w:szCs w:val="28"/>
              </w:rPr>
            </w:pPr>
            <w:r>
              <w:rPr>
                <w:rFonts w:hint="default" w:ascii="Times New Roman" w:hAnsi="Times New Roman" w:cs="Times New Roman"/>
                <w:b/>
                <w:bCs/>
                <w:sz w:val="24"/>
                <w:szCs w:val="28"/>
              </w:rPr>
              <w:t>狮尾智能低空业务未来发展规划</w:t>
            </w:r>
          </w:p>
          <w:p w14:paraId="1CB6AA66">
            <w:pPr>
              <w:spacing w:line="360" w:lineRule="auto"/>
              <w:ind w:firstLine="420"/>
              <w:rPr>
                <w:rFonts w:hint="default" w:ascii="Times New Roman" w:hAnsi="Times New Roman" w:cs="Times New Roman"/>
                <w:sz w:val="24"/>
                <w:szCs w:val="28"/>
              </w:rPr>
            </w:pPr>
            <w:r>
              <w:rPr>
                <w:rFonts w:hint="default" w:ascii="Times New Roman" w:hAnsi="Times New Roman" w:cs="Times New Roman"/>
                <w:sz w:val="24"/>
                <w:szCs w:val="28"/>
              </w:rPr>
              <w:t>狮尾智能低空业务发展围绕自主飞行技术展开，包括三大方面：航电飞控系统研发与集成、自主飞行管运平台与基础建设、复杂场景下无人机的应用。</w:t>
            </w:r>
          </w:p>
          <w:p w14:paraId="1E75355F">
            <w:pPr>
              <w:spacing w:line="360" w:lineRule="auto"/>
              <w:ind w:firstLine="420"/>
              <w:rPr>
                <w:rFonts w:hint="default" w:ascii="Times New Roman" w:hAnsi="Times New Roman" w:cs="Times New Roman"/>
                <w:sz w:val="24"/>
                <w:szCs w:val="28"/>
              </w:rPr>
            </w:pPr>
            <w:r>
              <w:rPr>
                <w:rFonts w:hint="default" w:ascii="Times New Roman" w:hAnsi="Times New Roman" w:cs="Times New Roman"/>
                <w:sz w:val="24"/>
                <w:szCs w:val="28"/>
              </w:rPr>
              <w:t>短期内狮尾智能将利用自研的城市复杂场景下的飞控技术拓展商业化应用，长期规划为3-5年间与主机厂商合作实现高安全等级航电飞控的突破。</w:t>
            </w:r>
          </w:p>
          <w:p w14:paraId="385D123A">
            <w:pPr>
              <w:spacing w:line="360" w:lineRule="auto"/>
              <w:ind w:firstLine="420"/>
              <w:rPr>
                <w:rFonts w:hint="default" w:ascii="Times New Roman" w:hAnsi="Times New Roman" w:cs="Times New Roman"/>
                <w:strike/>
                <w:sz w:val="24"/>
                <w:szCs w:val="28"/>
              </w:rPr>
            </w:pPr>
            <w:r>
              <w:rPr>
                <w:rFonts w:hint="default" w:ascii="Times New Roman" w:hAnsi="Times New Roman" w:cs="Times New Roman"/>
                <w:sz w:val="24"/>
                <w:szCs w:val="28"/>
              </w:rPr>
              <w:t>整个低空经济产业是逐步发展的，由信息流自动化，到物流自动化，再到人流自动化，这将是个较长的周期。狮尾智能依托团队载人飞控研发经验，通过商业化应用盈利的同时，提前布局载人飞控系统的研发，预期当载人eVTOL发展成熟的时候，我们能够跟随行业发展成为自主飞行赛道的头部企业。</w:t>
            </w:r>
          </w:p>
          <w:p w14:paraId="0F116AE6">
            <w:pPr>
              <w:spacing w:line="360" w:lineRule="auto"/>
              <w:ind w:firstLine="420"/>
              <w:rPr>
                <w:rFonts w:hint="default" w:ascii="Times New Roman" w:hAnsi="Times New Roman" w:cs="Times New Roman"/>
                <w:sz w:val="24"/>
                <w:szCs w:val="28"/>
              </w:rPr>
            </w:pPr>
            <w:r>
              <w:rPr>
                <w:rFonts w:hint="default" w:ascii="Times New Roman" w:hAnsi="Times New Roman" w:cs="Times New Roman"/>
                <w:sz w:val="24"/>
                <w:szCs w:val="28"/>
              </w:rPr>
              <w:t>狮尾智能的核心愿景是依托飞控技术，提高飞行器自主化、智能化程度，最终能实现各类航空飞行器全自动飞行。对低空经济来讲，飞行器的智能化程度提升了，才能规模化量产，行业才能迎来真正的腾飞。</w:t>
            </w:r>
          </w:p>
          <w:p w14:paraId="64D2E8BB">
            <w:pPr>
              <w:numPr>
                <w:ilvl w:val="0"/>
                <w:numId w:val="2"/>
              </w:numPr>
              <w:spacing w:line="360" w:lineRule="auto"/>
              <w:rPr>
                <w:rFonts w:hint="default" w:ascii="Times New Roman" w:hAnsi="Times New Roman" w:cs="Times New Roman"/>
                <w:b/>
                <w:bCs/>
                <w:sz w:val="24"/>
                <w:szCs w:val="28"/>
              </w:rPr>
            </w:pPr>
            <w:r>
              <w:rPr>
                <w:rFonts w:hint="default" w:ascii="Times New Roman" w:hAnsi="Times New Roman" w:cs="Times New Roman"/>
                <w:b/>
                <w:bCs/>
                <w:sz w:val="24"/>
                <w:szCs w:val="28"/>
              </w:rPr>
              <w:t>狮尾智能会参与硬件研发吗？</w:t>
            </w:r>
          </w:p>
          <w:p w14:paraId="5C9817FB">
            <w:pPr>
              <w:spacing w:line="360" w:lineRule="auto"/>
              <w:ind w:firstLine="420"/>
              <w:rPr>
                <w:rFonts w:hint="default" w:ascii="Times New Roman" w:hAnsi="Times New Roman" w:cs="Times New Roman"/>
                <w:sz w:val="24"/>
                <w:szCs w:val="28"/>
              </w:rPr>
            </w:pPr>
            <w:r>
              <w:rPr>
                <w:rFonts w:hint="default" w:ascii="Times New Roman" w:hAnsi="Times New Roman" w:cs="Times New Roman"/>
                <w:sz w:val="24"/>
                <w:szCs w:val="28"/>
              </w:rPr>
              <w:t>会，机载航电飞控系统和汽车域控制器有类似之处，通常包括软件和硬件部分，狮尾智能核心会聚焦航电飞控系统相关的软件和硬件研发和集成。</w:t>
            </w:r>
          </w:p>
          <w:p w14:paraId="2650C558">
            <w:pPr>
              <w:numPr>
                <w:ilvl w:val="0"/>
                <w:numId w:val="2"/>
              </w:numPr>
              <w:spacing w:line="360" w:lineRule="auto"/>
              <w:rPr>
                <w:rFonts w:hint="default" w:ascii="Times New Roman" w:hAnsi="Times New Roman" w:cs="Times New Roman"/>
                <w:b/>
                <w:bCs/>
                <w:sz w:val="24"/>
                <w:szCs w:val="28"/>
              </w:rPr>
            </w:pPr>
            <w:r>
              <w:rPr>
                <w:rFonts w:hint="default" w:ascii="Times New Roman" w:hAnsi="Times New Roman" w:cs="Times New Roman"/>
                <w:b/>
                <w:bCs/>
                <w:sz w:val="24"/>
                <w:szCs w:val="28"/>
              </w:rPr>
              <w:t>为什么要做城市复杂场景下的工业无人机应用？</w:t>
            </w:r>
          </w:p>
          <w:p w14:paraId="51348BA6">
            <w:pPr>
              <w:spacing w:line="360" w:lineRule="auto"/>
              <w:ind w:firstLine="420"/>
              <w:rPr>
                <w:rFonts w:hint="default" w:ascii="Times New Roman" w:hAnsi="Times New Roman" w:cs="Times New Roman"/>
                <w:sz w:val="24"/>
                <w:szCs w:val="28"/>
              </w:rPr>
            </w:pPr>
            <w:r>
              <w:rPr>
                <w:rFonts w:hint="default" w:ascii="Times New Roman" w:hAnsi="Times New Roman" w:cs="Times New Roman"/>
                <w:sz w:val="24"/>
                <w:szCs w:val="28"/>
              </w:rPr>
              <w:t>城市环境由于易受电磁等各类干扰且气象环境复杂，为低空飞行最为复杂的环境之一，狮尾智能在国内首创的超高楼自动巡检正是应对这一复杂环境下作业，从事超高楼巡检业务有利于公司沉淀城市复杂环境下的飞行数据。eVTOL飞行器测试阶段需要用到城市复杂环境里测试验证数据，包括微观的电磁环境、气象条件以及信号特征等。</w:t>
            </w:r>
          </w:p>
          <w:p w14:paraId="5BDA3A2A">
            <w:pPr>
              <w:spacing w:line="360" w:lineRule="auto"/>
              <w:ind w:firstLine="420"/>
              <w:rPr>
                <w:rFonts w:hint="default" w:ascii="Times New Roman" w:hAnsi="Times New Roman" w:cs="Times New Roman"/>
                <w:sz w:val="24"/>
                <w:szCs w:val="28"/>
              </w:rPr>
            </w:pPr>
            <w:r>
              <w:rPr>
                <w:rFonts w:hint="default" w:ascii="Times New Roman" w:hAnsi="Times New Roman" w:cs="Times New Roman"/>
                <w:sz w:val="24"/>
                <w:szCs w:val="28"/>
              </w:rPr>
              <w:t>超高楼巡检自动作业难度大，竞争对手少，毛利高。随着全国楼宇</w:t>
            </w:r>
            <w:r>
              <w:rPr>
                <w:rFonts w:hint="eastAsia" w:ascii="宋体" w:hAnsi="宋体" w:eastAsia="宋体" w:cs="宋体"/>
                <w:sz w:val="24"/>
                <w:szCs w:val="28"/>
              </w:rPr>
              <w:t>“</w:t>
            </w:r>
            <w:r>
              <w:rPr>
                <w:rFonts w:hint="default" w:ascii="Times New Roman" w:hAnsi="Times New Roman" w:cs="Times New Roman"/>
                <w:sz w:val="24"/>
                <w:szCs w:val="28"/>
              </w:rPr>
              <w:t>老龄化</w:t>
            </w:r>
            <w:r>
              <w:rPr>
                <w:rFonts w:hint="eastAsia" w:ascii="宋体" w:hAnsi="宋体" w:eastAsia="宋体" w:cs="宋体"/>
                <w:sz w:val="24"/>
                <w:szCs w:val="28"/>
              </w:rPr>
              <w:t>”</w:t>
            </w:r>
            <w:r>
              <w:rPr>
                <w:rFonts w:hint="default" w:ascii="Times New Roman" w:hAnsi="Times New Roman" w:cs="Times New Roman"/>
                <w:sz w:val="24"/>
                <w:szCs w:val="28"/>
              </w:rPr>
              <w:t>进程，高楼巡检市场空间逐步增大，该技术亦能应用于桥梁、港口、隧道巡检等。狮尾智能从事复杂场景下的工业无人机应用业务，在积累技术经验和沉淀数据的基础上，可以为公司带来稳定的现金流入。</w:t>
            </w:r>
          </w:p>
          <w:p w14:paraId="154095AD">
            <w:pPr>
              <w:numPr>
                <w:ilvl w:val="0"/>
                <w:numId w:val="2"/>
              </w:numPr>
              <w:spacing w:line="360" w:lineRule="auto"/>
              <w:rPr>
                <w:rFonts w:hint="default" w:ascii="Times New Roman" w:hAnsi="Times New Roman" w:cs="Times New Roman"/>
                <w:b/>
                <w:bCs/>
                <w:sz w:val="24"/>
                <w:szCs w:val="28"/>
              </w:rPr>
            </w:pPr>
            <w:r>
              <w:rPr>
                <w:rFonts w:hint="default" w:ascii="Times New Roman" w:hAnsi="Times New Roman" w:cs="Times New Roman"/>
                <w:b/>
                <w:bCs/>
                <w:sz w:val="24"/>
                <w:szCs w:val="28"/>
              </w:rPr>
              <w:t>工业无人机应用业务拓展方向、增长驱动力？</w:t>
            </w:r>
          </w:p>
          <w:p w14:paraId="384BE808">
            <w:pPr>
              <w:spacing w:line="360" w:lineRule="auto"/>
              <w:ind w:firstLine="420" w:firstLineChars="175"/>
              <w:rPr>
                <w:rFonts w:hint="default" w:ascii="Times New Roman" w:hAnsi="Times New Roman" w:cs="Times New Roman"/>
                <w:sz w:val="24"/>
                <w:szCs w:val="28"/>
              </w:rPr>
            </w:pPr>
            <w:r>
              <w:rPr>
                <w:rFonts w:hint="default" w:ascii="Times New Roman" w:hAnsi="Times New Roman" w:cs="Times New Roman"/>
                <w:sz w:val="24"/>
                <w:szCs w:val="28"/>
              </w:rPr>
              <w:t>狮尾智能无人机高楼巡检业务已完成上海、深圳、杭州等地标杆项目的巡检，为后续业务拓展带来示范效应。纵横通信并购后，依托纵横完善的营销网络，可快速拓展至全国。与此同时，狮尾智能也在拓展相似的业务场景和市场，如桥梁、水利、林业以及消防应急等。</w:t>
            </w:r>
          </w:p>
          <w:p w14:paraId="3D20D886">
            <w:pPr>
              <w:spacing w:line="360" w:lineRule="auto"/>
              <w:ind w:firstLine="420" w:firstLineChars="175"/>
              <w:rPr>
                <w:rFonts w:hint="default" w:ascii="Times New Roman" w:hAnsi="Times New Roman" w:cs="Times New Roman"/>
                <w:sz w:val="24"/>
                <w:szCs w:val="28"/>
              </w:rPr>
            </w:pPr>
            <w:r>
              <w:rPr>
                <w:rFonts w:hint="default" w:ascii="Times New Roman" w:hAnsi="Times New Roman" w:cs="Times New Roman"/>
                <w:sz w:val="24"/>
                <w:szCs w:val="28"/>
              </w:rPr>
              <w:t>在通信领域，纵横通信为国内成熟的通信领域上市公司，运营商为低空经济发展主力之一，纵横通信可复用沉淀多年的运营商资源，赋能狮尾智能拓展通信领域相关业务。</w:t>
            </w:r>
          </w:p>
          <w:p w14:paraId="122F14B4">
            <w:pPr>
              <w:spacing w:line="360" w:lineRule="auto"/>
              <w:ind w:firstLine="420" w:firstLineChars="175"/>
              <w:rPr>
                <w:rFonts w:hint="default" w:ascii="Times New Roman" w:hAnsi="Times New Roman" w:cs="Times New Roman"/>
                <w:sz w:val="24"/>
                <w:szCs w:val="28"/>
              </w:rPr>
            </w:pPr>
            <w:r>
              <w:rPr>
                <w:rFonts w:hint="default" w:ascii="Times New Roman" w:hAnsi="Times New Roman" w:cs="Times New Roman"/>
                <w:sz w:val="24"/>
                <w:szCs w:val="28"/>
              </w:rPr>
              <w:t>目前海外建筑建工巡检市场较大，且巡检单价高，未来也考虑出海拓展相关业务。作为掌握自主飞行技术的企业，场景迁移较为容易，无人机应用需要根据不同场景调整飞控及管理平台，我们拓展其他无人机应用成本较低。</w:t>
            </w:r>
          </w:p>
          <w:p w14:paraId="765BD1BF">
            <w:pPr>
              <w:numPr>
                <w:ilvl w:val="0"/>
                <w:numId w:val="2"/>
              </w:numPr>
              <w:spacing w:line="360" w:lineRule="auto"/>
              <w:rPr>
                <w:rFonts w:hint="default" w:ascii="Times New Roman" w:hAnsi="Times New Roman" w:cs="Times New Roman"/>
                <w:b/>
                <w:bCs/>
                <w:sz w:val="24"/>
                <w:szCs w:val="28"/>
              </w:rPr>
            </w:pPr>
            <w:r>
              <w:rPr>
                <w:rFonts w:hint="default" w:ascii="Times New Roman" w:hAnsi="Times New Roman" w:cs="Times New Roman"/>
                <w:b/>
                <w:bCs/>
                <w:sz w:val="24"/>
                <w:szCs w:val="28"/>
              </w:rPr>
              <w:t>公司是否参与低空基础设施建设？</w:t>
            </w:r>
          </w:p>
          <w:p w14:paraId="2963A5D1">
            <w:pPr>
              <w:spacing w:line="360" w:lineRule="auto"/>
              <w:ind w:firstLine="420" w:firstLineChars="175"/>
              <w:rPr>
                <w:rFonts w:hint="default" w:ascii="Times New Roman" w:hAnsi="Times New Roman" w:cs="Times New Roman"/>
                <w:color w:val="FF0000"/>
                <w:sz w:val="24"/>
                <w:szCs w:val="28"/>
              </w:rPr>
            </w:pPr>
            <w:r>
              <w:rPr>
                <w:rFonts w:hint="default" w:ascii="Times New Roman" w:hAnsi="Times New Roman" w:cs="Times New Roman"/>
                <w:sz w:val="24"/>
                <w:szCs w:val="28"/>
              </w:rPr>
              <w:t>低空基础设施建设包括物理基础设施和空中飞行器管理系统。公司深耕5G新基建，积累了丰富的基础设施建设经验，且电信运营商深度参与低空基础设施建设，公司沉淀的资源和能力可以复用于低空基础设施建设。公司目前已在参与空中飞行器管运平台的设计与搭建项目。</w:t>
            </w:r>
          </w:p>
          <w:p w14:paraId="38B8D40D">
            <w:pPr>
              <w:numPr>
                <w:ilvl w:val="0"/>
                <w:numId w:val="2"/>
              </w:numPr>
              <w:spacing w:line="360" w:lineRule="auto"/>
              <w:rPr>
                <w:rFonts w:hint="default" w:ascii="Times New Roman" w:hAnsi="Times New Roman" w:cs="Times New Roman"/>
                <w:b/>
                <w:bCs/>
                <w:sz w:val="24"/>
                <w:szCs w:val="28"/>
              </w:rPr>
            </w:pPr>
            <w:r>
              <w:rPr>
                <w:rFonts w:hint="default" w:ascii="Times New Roman" w:hAnsi="Times New Roman" w:cs="Times New Roman"/>
                <w:b/>
                <w:bCs/>
                <w:sz w:val="24"/>
                <w:szCs w:val="28"/>
              </w:rPr>
              <w:t>公司三季度营收增长较快，利润未同比增长的原因？</w:t>
            </w:r>
          </w:p>
          <w:p w14:paraId="1A7A9FC6">
            <w:pPr>
              <w:spacing w:line="360" w:lineRule="auto"/>
              <w:ind w:firstLine="420" w:firstLineChars="175"/>
              <w:rPr>
                <w:rFonts w:hint="default" w:ascii="Times New Roman" w:hAnsi="Times New Roman" w:cs="Times New Roman"/>
                <w:sz w:val="24"/>
                <w:szCs w:val="28"/>
              </w:rPr>
            </w:pPr>
            <w:r>
              <w:rPr>
                <w:rFonts w:hint="default" w:ascii="Times New Roman" w:hAnsi="Times New Roman" w:cs="Times New Roman"/>
                <w:sz w:val="24"/>
                <w:szCs w:val="28"/>
              </w:rPr>
              <w:t>公司目前处于业务加速拓展阶段，今年新增业务投入较大，如开发全域数字营销天枢平台，加大了人才引入力度，管理、销售、研发费用增加，预期新增的投入未来会赋能业务，加快业务发展进程。此外，三季度利润也受到公司外币借款汇率波动的影响，该影响为暂时性影响。</w:t>
            </w:r>
          </w:p>
          <w:p w14:paraId="2882F8E9">
            <w:pPr>
              <w:numPr>
                <w:ilvl w:val="0"/>
                <w:numId w:val="2"/>
              </w:numPr>
              <w:spacing w:line="360" w:lineRule="auto"/>
              <w:rPr>
                <w:rFonts w:hint="default" w:ascii="Times New Roman" w:hAnsi="Times New Roman" w:cs="Times New Roman"/>
                <w:b/>
                <w:bCs/>
                <w:sz w:val="24"/>
                <w:szCs w:val="28"/>
              </w:rPr>
            </w:pPr>
            <w:r>
              <w:rPr>
                <w:rFonts w:hint="default" w:ascii="Times New Roman" w:hAnsi="Times New Roman" w:cs="Times New Roman"/>
                <w:b/>
                <w:bCs/>
                <w:sz w:val="24"/>
                <w:szCs w:val="28"/>
              </w:rPr>
              <w:t>全域数字营销业务的增长驱动力？</w:t>
            </w:r>
          </w:p>
          <w:p w14:paraId="3A650AE8">
            <w:pPr>
              <w:spacing w:line="360" w:lineRule="auto"/>
              <w:ind w:firstLine="480" w:firstLineChars="200"/>
              <w:rPr>
                <w:rFonts w:hint="default" w:ascii="Times New Roman" w:hAnsi="Times New Roman" w:cs="Times New Roman"/>
                <w:sz w:val="24"/>
                <w:szCs w:val="28"/>
              </w:rPr>
            </w:pPr>
            <w:r>
              <w:rPr>
                <w:rFonts w:hint="default" w:ascii="Times New Roman" w:hAnsi="Times New Roman" w:cs="Times New Roman"/>
                <w:sz w:val="24"/>
                <w:szCs w:val="28"/>
              </w:rPr>
              <w:t>全域数字营销业务增长驱动力是在业务上做了拓展。首先公司拓展了品类，从号卡/权益拓展到智能终端、3C数码、生活电器等；其次是拓展了平台和通路，从抖音、快手拓展到天猫、淘宝、1688、闲鱼、支付宝、拼多多、得物、唯品会等；通过品类拓展、通路拓展、平台拓展，来打造纵横的全域数字化营销能力，覆盖更多消费者、服务更多的品牌；同时公司也在积极探索跨境电商的数字营销能力。</w:t>
            </w:r>
          </w:p>
        </w:tc>
      </w:tr>
      <w:tr w14:paraId="6C6A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933" w:type="dxa"/>
            <w:tcBorders>
              <w:top w:val="single" w:color="auto" w:sz="4" w:space="0"/>
              <w:left w:val="single" w:color="auto" w:sz="4" w:space="0"/>
              <w:bottom w:val="single" w:color="auto" w:sz="4" w:space="0"/>
              <w:right w:val="single" w:color="auto" w:sz="4" w:space="0"/>
            </w:tcBorders>
            <w:vAlign w:val="center"/>
          </w:tcPr>
          <w:p w14:paraId="0D557C5C">
            <w:pPr>
              <w:spacing w:line="480" w:lineRule="atLeast"/>
              <w:rPr>
                <w:rFonts w:hint="default" w:ascii="Times New Roman" w:hAnsi="Times New Roman" w:cs="Times New Roman"/>
                <w:b/>
                <w:bCs/>
                <w:iCs/>
                <w:color w:val="000000"/>
                <w:sz w:val="24"/>
              </w:rPr>
            </w:pPr>
            <w:r>
              <w:rPr>
                <w:rFonts w:hint="default" w:ascii="Times New Roman" w:hAnsi="Times New Roman" w:cs="Times New Roman"/>
                <w:b/>
                <w:bCs/>
                <w:iCs/>
                <w:color w:val="000000"/>
                <w:sz w:val="24"/>
              </w:rPr>
              <w:t>附件清单（如有）</w:t>
            </w:r>
          </w:p>
        </w:tc>
        <w:tc>
          <w:tcPr>
            <w:tcW w:w="6589" w:type="dxa"/>
            <w:tcBorders>
              <w:top w:val="single" w:color="auto" w:sz="4" w:space="0"/>
              <w:left w:val="single" w:color="auto" w:sz="4" w:space="0"/>
              <w:bottom w:val="single" w:color="auto" w:sz="4" w:space="0"/>
              <w:right w:val="single" w:color="auto" w:sz="4" w:space="0"/>
            </w:tcBorders>
          </w:tcPr>
          <w:p w14:paraId="63FA8740">
            <w:pPr>
              <w:spacing w:line="480" w:lineRule="atLeast"/>
              <w:rPr>
                <w:rFonts w:hint="default" w:ascii="Times New Roman" w:hAnsi="Times New Roman" w:cs="Times New Roman"/>
                <w:bCs/>
                <w:iCs/>
                <w:color w:val="000000"/>
                <w:sz w:val="24"/>
              </w:rPr>
            </w:pPr>
            <w:r>
              <w:rPr>
                <w:rFonts w:hint="default" w:ascii="Times New Roman" w:hAnsi="Times New Roman" w:cs="Times New Roman"/>
                <w:bCs/>
                <w:iCs/>
                <w:color w:val="000000"/>
                <w:sz w:val="24"/>
              </w:rPr>
              <w:t>无</w:t>
            </w:r>
          </w:p>
        </w:tc>
      </w:tr>
      <w:tr w14:paraId="463F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tcBorders>
              <w:top w:val="single" w:color="auto" w:sz="4" w:space="0"/>
              <w:left w:val="single" w:color="auto" w:sz="4" w:space="0"/>
              <w:bottom w:val="single" w:color="auto" w:sz="4" w:space="0"/>
              <w:right w:val="single" w:color="auto" w:sz="4" w:space="0"/>
            </w:tcBorders>
            <w:vAlign w:val="center"/>
          </w:tcPr>
          <w:p w14:paraId="3C368D45">
            <w:pPr>
              <w:spacing w:line="480" w:lineRule="atLeast"/>
              <w:rPr>
                <w:rFonts w:hint="default" w:ascii="Times New Roman" w:hAnsi="Times New Roman" w:cs="Times New Roman"/>
                <w:b/>
                <w:bCs/>
                <w:iCs/>
                <w:color w:val="000000"/>
                <w:sz w:val="24"/>
              </w:rPr>
            </w:pPr>
            <w:r>
              <w:rPr>
                <w:rFonts w:hint="default" w:ascii="Times New Roman" w:hAnsi="Times New Roman" w:cs="Times New Roman"/>
                <w:b/>
                <w:bCs/>
                <w:iCs/>
                <w:color w:val="000000"/>
                <w:sz w:val="24"/>
              </w:rPr>
              <w:t>日期</w:t>
            </w:r>
          </w:p>
        </w:tc>
        <w:tc>
          <w:tcPr>
            <w:tcW w:w="6589" w:type="dxa"/>
            <w:tcBorders>
              <w:top w:val="single" w:color="auto" w:sz="4" w:space="0"/>
              <w:left w:val="single" w:color="auto" w:sz="4" w:space="0"/>
              <w:bottom w:val="single" w:color="auto" w:sz="4" w:space="0"/>
              <w:right w:val="single" w:color="auto" w:sz="4" w:space="0"/>
            </w:tcBorders>
          </w:tcPr>
          <w:p w14:paraId="4D85510A">
            <w:pPr>
              <w:spacing w:line="480" w:lineRule="atLeast"/>
              <w:rPr>
                <w:rFonts w:hint="default" w:ascii="Times New Roman" w:hAnsi="Times New Roman" w:eastAsia="宋体" w:cs="Times New Roman"/>
                <w:bCs/>
                <w:iCs/>
                <w:color w:val="000000"/>
                <w:sz w:val="24"/>
                <w:lang w:val="en-US" w:eastAsia="zh-CN"/>
              </w:rPr>
            </w:pPr>
            <w:r>
              <w:rPr>
                <w:rFonts w:hint="default" w:ascii="Times New Roman" w:hAnsi="Times New Roman" w:cs="Times New Roman"/>
                <w:bCs/>
                <w:iCs/>
                <w:color w:val="000000"/>
                <w:sz w:val="24"/>
              </w:rPr>
              <w:t>2024年10月</w:t>
            </w:r>
            <w:r>
              <w:rPr>
                <w:rFonts w:hint="eastAsia" w:cs="Times New Roman"/>
                <w:bCs/>
                <w:iCs/>
                <w:color w:val="000000"/>
                <w:sz w:val="24"/>
                <w:lang w:val="en-US" w:eastAsia="zh-CN"/>
              </w:rPr>
              <w:t>30日</w:t>
            </w:r>
            <w:bookmarkStart w:id="2" w:name="_GoBack"/>
            <w:bookmarkEnd w:id="2"/>
          </w:p>
        </w:tc>
      </w:tr>
    </w:tbl>
    <w:p w14:paraId="18453E6C">
      <w:pPr>
        <w:spacing w:line="360" w:lineRule="auto"/>
        <w:rPr>
          <w:sz w:val="24"/>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Times New Roman"/>
    <w:panose1 w:val="00000000000000000000"/>
    <w:charset w:val="00"/>
    <w:family w:val="auto"/>
    <w:pitch w:val="default"/>
    <w:sig w:usb0="00000000" w:usb1="00000000" w:usb2="0000001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CDFE0">
    <w:pPr>
      <w:pStyle w:val="4"/>
      <w:ind w:right="360"/>
      <w:jc w:val="both"/>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D4D0B">
    <w:pPr>
      <w:pStyle w:val="4"/>
      <w:framePr w:wrap="around" w:vAnchor="text" w:hAnchor="margin" w:xAlign="right" w:y="1"/>
      <w:rPr>
        <w:rStyle w:val="11"/>
      </w:rPr>
    </w:pPr>
    <w:r>
      <w:fldChar w:fldCharType="begin"/>
    </w:r>
    <w:r>
      <w:rPr>
        <w:rStyle w:val="11"/>
      </w:rPr>
      <w:instrText xml:space="preserve">PAGE  </w:instrText>
    </w:r>
    <w:r>
      <w:fldChar w:fldCharType="end"/>
    </w:r>
  </w:p>
  <w:p w14:paraId="220D4B48">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14F32C"/>
    <w:multiLevelType w:val="singleLevel"/>
    <w:tmpl w:val="C114F32C"/>
    <w:lvl w:ilvl="0" w:tentative="0">
      <w:start w:val="1"/>
      <w:numFmt w:val="chineseCounting"/>
      <w:suff w:val="nothing"/>
      <w:lvlText w:val="%1、"/>
      <w:lvlJc w:val="left"/>
      <w:rPr>
        <w:rFonts w:hint="eastAsia"/>
      </w:rPr>
    </w:lvl>
  </w:abstractNum>
  <w:abstractNum w:abstractNumId="1">
    <w:nsid w:val="F90A02E7"/>
    <w:multiLevelType w:val="singleLevel"/>
    <w:tmpl w:val="F90A02E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lN2M3ZTM4ZmFhNDUwZjM2N2RjOWNiMDBjZmZlYTgifQ=="/>
  </w:docVars>
  <w:rsids>
    <w:rsidRoot w:val="00DB6845"/>
    <w:rsid w:val="00000FCB"/>
    <w:rsid w:val="00001FDB"/>
    <w:rsid w:val="00003FF2"/>
    <w:rsid w:val="0000529E"/>
    <w:rsid w:val="000059E1"/>
    <w:rsid w:val="00006121"/>
    <w:rsid w:val="000063F1"/>
    <w:rsid w:val="00007A22"/>
    <w:rsid w:val="00010AD0"/>
    <w:rsid w:val="00011089"/>
    <w:rsid w:val="000116B3"/>
    <w:rsid w:val="00011F25"/>
    <w:rsid w:val="00012774"/>
    <w:rsid w:val="00014AF4"/>
    <w:rsid w:val="00016C69"/>
    <w:rsid w:val="000208DC"/>
    <w:rsid w:val="00023415"/>
    <w:rsid w:val="00023AA7"/>
    <w:rsid w:val="000259D7"/>
    <w:rsid w:val="00026131"/>
    <w:rsid w:val="00026502"/>
    <w:rsid w:val="00031A6D"/>
    <w:rsid w:val="00034167"/>
    <w:rsid w:val="000359B9"/>
    <w:rsid w:val="00037B25"/>
    <w:rsid w:val="0004105B"/>
    <w:rsid w:val="00041D07"/>
    <w:rsid w:val="00043006"/>
    <w:rsid w:val="00043279"/>
    <w:rsid w:val="00044412"/>
    <w:rsid w:val="00047CC5"/>
    <w:rsid w:val="0005005F"/>
    <w:rsid w:val="00051620"/>
    <w:rsid w:val="00052E70"/>
    <w:rsid w:val="00054EE6"/>
    <w:rsid w:val="000553B7"/>
    <w:rsid w:val="00055AC3"/>
    <w:rsid w:val="00055F2A"/>
    <w:rsid w:val="00057E17"/>
    <w:rsid w:val="00060810"/>
    <w:rsid w:val="00060B8D"/>
    <w:rsid w:val="00060DF3"/>
    <w:rsid w:val="00061354"/>
    <w:rsid w:val="0006149F"/>
    <w:rsid w:val="00061A8E"/>
    <w:rsid w:val="00063144"/>
    <w:rsid w:val="000632BD"/>
    <w:rsid w:val="00064405"/>
    <w:rsid w:val="00064E9A"/>
    <w:rsid w:val="000673C8"/>
    <w:rsid w:val="00070060"/>
    <w:rsid w:val="0007190C"/>
    <w:rsid w:val="00071EE1"/>
    <w:rsid w:val="000744C4"/>
    <w:rsid w:val="00077BA3"/>
    <w:rsid w:val="00077CD1"/>
    <w:rsid w:val="00080465"/>
    <w:rsid w:val="00082CC7"/>
    <w:rsid w:val="00083B99"/>
    <w:rsid w:val="00085413"/>
    <w:rsid w:val="00086912"/>
    <w:rsid w:val="0008693D"/>
    <w:rsid w:val="00086B13"/>
    <w:rsid w:val="000907B8"/>
    <w:rsid w:val="00092324"/>
    <w:rsid w:val="0009317F"/>
    <w:rsid w:val="00093330"/>
    <w:rsid w:val="00095338"/>
    <w:rsid w:val="000959DE"/>
    <w:rsid w:val="00097AFF"/>
    <w:rsid w:val="000A0126"/>
    <w:rsid w:val="000A18C8"/>
    <w:rsid w:val="000A29E5"/>
    <w:rsid w:val="000A5C2D"/>
    <w:rsid w:val="000A616D"/>
    <w:rsid w:val="000A6323"/>
    <w:rsid w:val="000A6B66"/>
    <w:rsid w:val="000A6C6F"/>
    <w:rsid w:val="000A71AC"/>
    <w:rsid w:val="000A73E3"/>
    <w:rsid w:val="000B051D"/>
    <w:rsid w:val="000B091C"/>
    <w:rsid w:val="000B0DF7"/>
    <w:rsid w:val="000B15FB"/>
    <w:rsid w:val="000B1B01"/>
    <w:rsid w:val="000B2C69"/>
    <w:rsid w:val="000B4E8A"/>
    <w:rsid w:val="000B604B"/>
    <w:rsid w:val="000B682E"/>
    <w:rsid w:val="000C1979"/>
    <w:rsid w:val="000C1C90"/>
    <w:rsid w:val="000C34E1"/>
    <w:rsid w:val="000C4C74"/>
    <w:rsid w:val="000C5652"/>
    <w:rsid w:val="000D2727"/>
    <w:rsid w:val="000D2D25"/>
    <w:rsid w:val="000D4A31"/>
    <w:rsid w:val="000D6A1A"/>
    <w:rsid w:val="000E2B76"/>
    <w:rsid w:val="000E4597"/>
    <w:rsid w:val="000F27CA"/>
    <w:rsid w:val="000F3DEE"/>
    <w:rsid w:val="000F5E88"/>
    <w:rsid w:val="000F6AD4"/>
    <w:rsid w:val="000F7E74"/>
    <w:rsid w:val="001007E8"/>
    <w:rsid w:val="00100A55"/>
    <w:rsid w:val="0010332B"/>
    <w:rsid w:val="00103A9F"/>
    <w:rsid w:val="001061DC"/>
    <w:rsid w:val="00107192"/>
    <w:rsid w:val="0011074E"/>
    <w:rsid w:val="00111DB8"/>
    <w:rsid w:val="001156DB"/>
    <w:rsid w:val="0011668F"/>
    <w:rsid w:val="00122F8B"/>
    <w:rsid w:val="001237AE"/>
    <w:rsid w:val="00123D73"/>
    <w:rsid w:val="00126747"/>
    <w:rsid w:val="00126BEA"/>
    <w:rsid w:val="0013002C"/>
    <w:rsid w:val="00130217"/>
    <w:rsid w:val="00130233"/>
    <w:rsid w:val="00131F60"/>
    <w:rsid w:val="0013216E"/>
    <w:rsid w:val="00133206"/>
    <w:rsid w:val="001332CB"/>
    <w:rsid w:val="00134FC0"/>
    <w:rsid w:val="00135342"/>
    <w:rsid w:val="00136925"/>
    <w:rsid w:val="0013763F"/>
    <w:rsid w:val="00140119"/>
    <w:rsid w:val="001412E4"/>
    <w:rsid w:val="001422B0"/>
    <w:rsid w:val="001450CB"/>
    <w:rsid w:val="00146AFF"/>
    <w:rsid w:val="00146CEE"/>
    <w:rsid w:val="00153C61"/>
    <w:rsid w:val="00153CA2"/>
    <w:rsid w:val="0015400A"/>
    <w:rsid w:val="00154CB2"/>
    <w:rsid w:val="001572B5"/>
    <w:rsid w:val="00157B8C"/>
    <w:rsid w:val="001610E3"/>
    <w:rsid w:val="001619FE"/>
    <w:rsid w:val="001627C8"/>
    <w:rsid w:val="00162CCC"/>
    <w:rsid w:val="001639F4"/>
    <w:rsid w:val="00163BC1"/>
    <w:rsid w:val="00166E63"/>
    <w:rsid w:val="00167903"/>
    <w:rsid w:val="00170344"/>
    <w:rsid w:val="00170A1E"/>
    <w:rsid w:val="0017391C"/>
    <w:rsid w:val="00173BD5"/>
    <w:rsid w:val="0018007B"/>
    <w:rsid w:val="0018018F"/>
    <w:rsid w:val="0018397A"/>
    <w:rsid w:val="001847CC"/>
    <w:rsid w:val="00190C72"/>
    <w:rsid w:val="00190DF4"/>
    <w:rsid w:val="00191941"/>
    <w:rsid w:val="0019301E"/>
    <w:rsid w:val="00194530"/>
    <w:rsid w:val="00195027"/>
    <w:rsid w:val="00195980"/>
    <w:rsid w:val="00197FE1"/>
    <w:rsid w:val="001A15DA"/>
    <w:rsid w:val="001A3A78"/>
    <w:rsid w:val="001B01BC"/>
    <w:rsid w:val="001B09FE"/>
    <w:rsid w:val="001B0B74"/>
    <w:rsid w:val="001B154E"/>
    <w:rsid w:val="001B23DB"/>
    <w:rsid w:val="001B3602"/>
    <w:rsid w:val="001B4F55"/>
    <w:rsid w:val="001B6992"/>
    <w:rsid w:val="001B7214"/>
    <w:rsid w:val="001C67E6"/>
    <w:rsid w:val="001C7B37"/>
    <w:rsid w:val="001D00EF"/>
    <w:rsid w:val="001D042C"/>
    <w:rsid w:val="001D2C42"/>
    <w:rsid w:val="001D42C0"/>
    <w:rsid w:val="001D4E3C"/>
    <w:rsid w:val="001D5A3A"/>
    <w:rsid w:val="001D658A"/>
    <w:rsid w:val="001D7BD2"/>
    <w:rsid w:val="001E0D97"/>
    <w:rsid w:val="001E10B6"/>
    <w:rsid w:val="001E1642"/>
    <w:rsid w:val="001E60E3"/>
    <w:rsid w:val="001E627C"/>
    <w:rsid w:val="001E65DF"/>
    <w:rsid w:val="001E79F4"/>
    <w:rsid w:val="001F2869"/>
    <w:rsid w:val="001F487C"/>
    <w:rsid w:val="001F4F27"/>
    <w:rsid w:val="001F57F2"/>
    <w:rsid w:val="001F58EC"/>
    <w:rsid w:val="001F5CD9"/>
    <w:rsid w:val="001F657D"/>
    <w:rsid w:val="00201ECC"/>
    <w:rsid w:val="00201ECE"/>
    <w:rsid w:val="002056B1"/>
    <w:rsid w:val="00205BB7"/>
    <w:rsid w:val="00205C1B"/>
    <w:rsid w:val="0020660C"/>
    <w:rsid w:val="002140C5"/>
    <w:rsid w:val="00214428"/>
    <w:rsid w:val="00215B69"/>
    <w:rsid w:val="00215DCB"/>
    <w:rsid w:val="00217E23"/>
    <w:rsid w:val="002213E3"/>
    <w:rsid w:val="00221846"/>
    <w:rsid w:val="00223C04"/>
    <w:rsid w:val="00226963"/>
    <w:rsid w:val="00226D2D"/>
    <w:rsid w:val="00227045"/>
    <w:rsid w:val="002272C8"/>
    <w:rsid w:val="002308D9"/>
    <w:rsid w:val="0023534C"/>
    <w:rsid w:val="00242E0F"/>
    <w:rsid w:val="00242E8F"/>
    <w:rsid w:val="00243B32"/>
    <w:rsid w:val="00244FAB"/>
    <w:rsid w:val="00246916"/>
    <w:rsid w:val="002469DB"/>
    <w:rsid w:val="00246C08"/>
    <w:rsid w:val="00246EBD"/>
    <w:rsid w:val="00247A45"/>
    <w:rsid w:val="002517CB"/>
    <w:rsid w:val="00251B0C"/>
    <w:rsid w:val="00252FCD"/>
    <w:rsid w:val="0025432B"/>
    <w:rsid w:val="00256BD3"/>
    <w:rsid w:val="00260276"/>
    <w:rsid w:val="00260427"/>
    <w:rsid w:val="002604B1"/>
    <w:rsid w:val="00260562"/>
    <w:rsid w:val="002637D7"/>
    <w:rsid w:val="00263CB2"/>
    <w:rsid w:val="00264075"/>
    <w:rsid w:val="002647B9"/>
    <w:rsid w:val="002708AF"/>
    <w:rsid w:val="002722D8"/>
    <w:rsid w:val="002729C7"/>
    <w:rsid w:val="00272BC1"/>
    <w:rsid w:val="00274B5F"/>
    <w:rsid w:val="00281AFF"/>
    <w:rsid w:val="00282FE7"/>
    <w:rsid w:val="002832AF"/>
    <w:rsid w:val="00285E98"/>
    <w:rsid w:val="0028767D"/>
    <w:rsid w:val="002908A3"/>
    <w:rsid w:val="00295ABB"/>
    <w:rsid w:val="002964FD"/>
    <w:rsid w:val="00296BB5"/>
    <w:rsid w:val="002A0A30"/>
    <w:rsid w:val="002A3F90"/>
    <w:rsid w:val="002A4A20"/>
    <w:rsid w:val="002A4ABA"/>
    <w:rsid w:val="002A5509"/>
    <w:rsid w:val="002A6CD8"/>
    <w:rsid w:val="002B1358"/>
    <w:rsid w:val="002B30E4"/>
    <w:rsid w:val="002B342C"/>
    <w:rsid w:val="002B42F4"/>
    <w:rsid w:val="002B62DB"/>
    <w:rsid w:val="002B72C6"/>
    <w:rsid w:val="002B7FDD"/>
    <w:rsid w:val="002C0108"/>
    <w:rsid w:val="002C06CE"/>
    <w:rsid w:val="002C09CD"/>
    <w:rsid w:val="002C2B2A"/>
    <w:rsid w:val="002C65B7"/>
    <w:rsid w:val="002C6F24"/>
    <w:rsid w:val="002C7E20"/>
    <w:rsid w:val="002D3C0C"/>
    <w:rsid w:val="002D4724"/>
    <w:rsid w:val="002D590D"/>
    <w:rsid w:val="002E3BB0"/>
    <w:rsid w:val="002E5A79"/>
    <w:rsid w:val="002E7362"/>
    <w:rsid w:val="002E7B0C"/>
    <w:rsid w:val="002F2371"/>
    <w:rsid w:val="002F291A"/>
    <w:rsid w:val="002F2A7E"/>
    <w:rsid w:val="002F49CC"/>
    <w:rsid w:val="002F4F9F"/>
    <w:rsid w:val="002F5911"/>
    <w:rsid w:val="002F6929"/>
    <w:rsid w:val="00300F86"/>
    <w:rsid w:val="00302A64"/>
    <w:rsid w:val="00302BCC"/>
    <w:rsid w:val="00302BD4"/>
    <w:rsid w:val="00303B1E"/>
    <w:rsid w:val="003050AA"/>
    <w:rsid w:val="00305EFA"/>
    <w:rsid w:val="0030726E"/>
    <w:rsid w:val="00307E68"/>
    <w:rsid w:val="00311636"/>
    <w:rsid w:val="00311F9F"/>
    <w:rsid w:val="00312C45"/>
    <w:rsid w:val="00314026"/>
    <w:rsid w:val="00315713"/>
    <w:rsid w:val="00317327"/>
    <w:rsid w:val="00317684"/>
    <w:rsid w:val="003200F4"/>
    <w:rsid w:val="0032028D"/>
    <w:rsid w:val="0032263E"/>
    <w:rsid w:val="00322C19"/>
    <w:rsid w:val="00322F88"/>
    <w:rsid w:val="003230B6"/>
    <w:rsid w:val="0032329E"/>
    <w:rsid w:val="003233B9"/>
    <w:rsid w:val="00326683"/>
    <w:rsid w:val="00326915"/>
    <w:rsid w:val="00326F18"/>
    <w:rsid w:val="00330E0A"/>
    <w:rsid w:val="00335404"/>
    <w:rsid w:val="0033634C"/>
    <w:rsid w:val="00336F3D"/>
    <w:rsid w:val="00337051"/>
    <w:rsid w:val="0034042F"/>
    <w:rsid w:val="00341EC8"/>
    <w:rsid w:val="00342798"/>
    <w:rsid w:val="003443D3"/>
    <w:rsid w:val="003506EB"/>
    <w:rsid w:val="00354029"/>
    <w:rsid w:val="003542F5"/>
    <w:rsid w:val="00354A3A"/>
    <w:rsid w:val="00355886"/>
    <w:rsid w:val="00355EE7"/>
    <w:rsid w:val="00356E46"/>
    <w:rsid w:val="003575BE"/>
    <w:rsid w:val="003576F2"/>
    <w:rsid w:val="00357D50"/>
    <w:rsid w:val="00362914"/>
    <w:rsid w:val="003637DB"/>
    <w:rsid w:val="0036457F"/>
    <w:rsid w:val="00364ECC"/>
    <w:rsid w:val="00364F2D"/>
    <w:rsid w:val="00366E37"/>
    <w:rsid w:val="0036772A"/>
    <w:rsid w:val="003729A4"/>
    <w:rsid w:val="00376078"/>
    <w:rsid w:val="00376B41"/>
    <w:rsid w:val="00381D3E"/>
    <w:rsid w:val="00384306"/>
    <w:rsid w:val="0038546C"/>
    <w:rsid w:val="00386A0B"/>
    <w:rsid w:val="00387DD4"/>
    <w:rsid w:val="003931B9"/>
    <w:rsid w:val="0039731F"/>
    <w:rsid w:val="003A3180"/>
    <w:rsid w:val="003A384C"/>
    <w:rsid w:val="003A44F6"/>
    <w:rsid w:val="003A4889"/>
    <w:rsid w:val="003A5149"/>
    <w:rsid w:val="003A6AF2"/>
    <w:rsid w:val="003A709A"/>
    <w:rsid w:val="003A7D03"/>
    <w:rsid w:val="003B22AF"/>
    <w:rsid w:val="003B3136"/>
    <w:rsid w:val="003B4D95"/>
    <w:rsid w:val="003B5FA8"/>
    <w:rsid w:val="003B6A7A"/>
    <w:rsid w:val="003B6A9E"/>
    <w:rsid w:val="003B6ECB"/>
    <w:rsid w:val="003B6FB8"/>
    <w:rsid w:val="003B78BF"/>
    <w:rsid w:val="003C0040"/>
    <w:rsid w:val="003C164A"/>
    <w:rsid w:val="003C612F"/>
    <w:rsid w:val="003C63E2"/>
    <w:rsid w:val="003C7AC3"/>
    <w:rsid w:val="003C7F21"/>
    <w:rsid w:val="003D164A"/>
    <w:rsid w:val="003D4B98"/>
    <w:rsid w:val="003D5B77"/>
    <w:rsid w:val="003D6BAF"/>
    <w:rsid w:val="003E01E5"/>
    <w:rsid w:val="003E130A"/>
    <w:rsid w:val="003E2747"/>
    <w:rsid w:val="003E2CFC"/>
    <w:rsid w:val="003E3EE0"/>
    <w:rsid w:val="003E3F65"/>
    <w:rsid w:val="003E47FA"/>
    <w:rsid w:val="003E5AAF"/>
    <w:rsid w:val="003E7B48"/>
    <w:rsid w:val="003F0E67"/>
    <w:rsid w:val="003F1678"/>
    <w:rsid w:val="003F377E"/>
    <w:rsid w:val="003F3AD9"/>
    <w:rsid w:val="003F5330"/>
    <w:rsid w:val="003F561B"/>
    <w:rsid w:val="003F5962"/>
    <w:rsid w:val="004002D4"/>
    <w:rsid w:val="00400F75"/>
    <w:rsid w:val="00401D56"/>
    <w:rsid w:val="00402934"/>
    <w:rsid w:val="00404961"/>
    <w:rsid w:val="00404B7F"/>
    <w:rsid w:val="00405C51"/>
    <w:rsid w:val="00406A55"/>
    <w:rsid w:val="00406F31"/>
    <w:rsid w:val="00407E0D"/>
    <w:rsid w:val="0041022B"/>
    <w:rsid w:val="00410763"/>
    <w:rsid w:val="00412449"/>
    <w:rsid w:val="004141AD"/>
    <w:rsid w:val="0041428A"/>
    <w:rsid w:val="00415838"/>
    <w:rsid w:val="00416B86"/>
    <w:rsid w:val="00416C55"/>
    <w:rsid w:val="00423D05"/>
    <w:rsid w:val="0042573D"/>
    <w:rsid w:val="00426BBE"/>
    <w:rsid w:val="0043588E"/>
    <w:rsid w:val="00437497"/>
    <w:rsid w:val="00437512"/>
    <w:rsid w:val="004412A4"/>
    <w:rsid w:val="00441D14"/>
    <w:rsid w:val="0044213F"/>
    <w:rsid w:val="004427C6"/>
    <w:rsid w:val="00443CD1"/>
    <w:rsid w:val="004455DF"/>
    <w:rsid w:val="00446680"/>
    <w:rsid w:val="004467EC"/>
    <w:rsid w:val="00450867"/>
    <w:rsid w:val="004515D2"/>
    <w:rsid w:val="004522DE"/>
    <w:rsid w:val="004524D1"/>
    <w:rsid w:val="004526A2"/>
    <w:rsid w:val="004528F4"/>
    <w:rsid w:val="00456184"/>
    <w:rsid w:val="00456F2B"/>
    <w:rsid w:val="004575A5"/>
    <w:rsid w:val="00457636"/>
    <w:rsid w:val="00457EEF"/>
    <w:rsid w:val="004605A9"/>
    <w:rsid w:val="004610A4"/>
    <w:rsid w:val="00462B8F"/>
    <w:rsid w:val="0046353F"/>
    <w:rsid w:val="00463C78"/>
    <w:rsid w:val="00470626"/>
    <w:rsid w:val="00472EA9"/>
    <w:rsid w:val="00473927"/>
    <w:rsid w:val="0048076D"/>
    <w:rsid w:val="00480B4F"/>
    <w:rsid w:val="0048148B"/>
    <w:rsid w:val="00482063"/>
    <w:rsid w:val="00483AAC"/>
    <w:rsid w:val="004845DC"/>
    <w:rsid w:val="00484D9D"/>
    <w:rsid w:val="0048550F"/>
    <w:rsid w:val="00487906"/>
    <w:rsid w:val="00490050"/>
    <w:rsid w:val="00492A3C"/>
    <w:rsid w:val="00493BC7"/>
    <w:rsid w:val="004950C4"/>
    <w:rsid w:val="004A1679"/>
    <w:rsid w:val="004A36E8"/>
    <w:rsid w:val="004A4E43"/>
    <w:rsid w:val="004A64CA"/>
    <w:rsid w:val="004A6882"/>
    <w:rsid w:val="004B1EF7"/>
    <w:rsid w:val="004B220A"/>
    <w:rsid w:val="004B483F"/>
    <w:rsid w:val="004B7F95"/>
    <w:rsid w:val="004C0062"/>
    <w:rsid w:val="004C7C73"/>
    <w:rsid w:val="004D05E3"/>
    <w:rsid w:val="004D06EE"/>
    <w:rsid w:val="004D1EDF"/>
    <w:rsid w:val="004D35A1"/>
    <w:rsid w:val="004D49D3"/>
    <w:rsid w:val="004D502F"/>
    <w:rsid w:val="004D6B06"/>
    <w:rsid w:val="004D787D"/>
    <w:rsid w:val="004E0DC0"/>
    <w:rsid w:val="004F050B"/>
    <w:rsid w:val="004F13D8"/>
    <w:rsid w:val="004F4112"/>
    <w:rsid w:val="004F5934"/>
    <w:rsid w:val="00500E70"/>
    <w:rsid w:val="00502077"/>
    <w:rsid w:val="0050565B"/>
    <w:rsid w:val="00506AE8"/>
    <w:rsid w:val="00507A41"/>
    <w:rsid w:val="00510407"/>
    <w:rsid w:val="005115D6"/>
    <w:rsid w:val="005154EB"/>
    <w:rsid w:val="00520DBC"/>
    <w:rsid w:val="00521FDC"/>
    <w:rsid w:val="00524C97"/>
    <w:rsid w:val="00524EBD"/>
    <w:rsid w:val="0052780C"/>
    <w:rsid w:val="00530CFC"/>
    <w:rsid w:val="00531032"/>
    <w:rsid w:val="00531384"/>
    <w:rsid w:val="00531AE6"/>
    <w:rsid w:val="00531FEF"/>
    <w:rsid w:val="0053780F"/>
    <w:rsid w:val="0054095F"/>
    <w:rsid w:val="00540A11"/>
    <w:rsid w:val="00541126"/>
    <w:rsid w:val="00541D1E"/>
    <w:rsid w:val="00547121"/>
    <w:rsid w:val="00547490"/>
    <w:rsid w:val="00547C66"/>
    <w:rsid w:val="005504B4"/>
    <w:rsid w:val="005543ED"/>
    <w:rsid w:val="0055494E"/>
    <w:rsid w:val="00557CDC"/>
    <w:rsid w:val="00560D25"/>
    <w:rsid w:val="00561AAC"/>
    <w:rsid w:val="00562CB6"/>
    <w:rsid w:val="00563A62"/>
    <w:rsid w:val="0056496C"/>
    <w:rsid w:val="00564A4D"/>
    <w:rsid w:val="005650DE"/>
    <w:rsid w:val="00566B96"/>
    <w:rsid w:val="005670E9"/>
    <w:rsid w:val="00567780"/>
    <w:rsid w:val="00567BD5"/>
    <w:rsid w:val="005708CB"/>
    <w:rsid w:val="00570D7A"/>
    <w:rsid w:val="00572141"/>
    <w:rsid w:val="0057307C"/>
    <w:rsid w:val="00573177"/>
    <w:rsid w:val="005740B9"/>
    <w:rsid w:val="00575B29"/>
    <w:rsid w:val="00576B77"/>
    <w:rsid w:val="00577965"/>
    <w:rsid w:val="00580168"/>
    <w:rsid w:val="005811D8"/>
    <w:rsid w:val="00581585"/>
    <w:rsid w:val="00583F68"/>
    <w:rsid w:val="005855A0"/>
    <w:rsid w:val="005861A3"/>
    <w:rsid w:val="005877EB"/>
    <w:rsid w:val="00590110"/>
    <w:rsid w:val="00590AF4"/>
    <w:rsid w:val="0059291A"/>
    <w:rsid w:val="0059452D"/>
    <w:rsid w:val="00596C14"/>
    <w:rsid w:val="005A0265"/>
    <w:rsid w:val="005A0286"/>
    <w:rsid w:val="005A5769"/>
    <w:rsid w:val="005A6B9E"/>
    <w:rsid w:val="005A6CE9"/>
    <w:rsid w:val="005B15C1"/>
    <w:rsid w:val="005B579C"/>
    <w:rsid w:val="005B6EFD"/>
    <w:rsid w:val="005B7DC5"/>
    <w:rsid w:val="005C1A9D"/>
    <w:rsid w:val="005C5EF3"/>
    <w:rsid w:val="005C63C2"/>
    <w:rsid w:val="005C71E4"/>
    <w:rsid w:val="005C740E"/>
    <w:rsid w:val="005D44CE"/>
    <w:rsid w:val="005D688C"/>
    <w:rsid w:val="005E07B2"/>
    <w:rsid w:val="005E08CB"/>
    <w:rsid w:val="005E21B5"/>
    <w:rsid w:val="005E2762"/>
    <w:rsid w:val="005E35B4"/>
    <w:rsid w:val="005E40F4"/>
    <w:rsid w:val="005E62FC"/>
    <w:rsid w:val="005E6EB1"/>
    <w:rsid w:val="005E75C7"/>
    <w:rsid w:val="005F008B"/>
    <w:rsid w:val="005F0643"/>
    <w:rsid w:val="005F0904"/>
    <w:rsid w:val="005F2230"/>
    <w:rsid w:val="005F2C86"/>
    <w:rsid w:val="005F5DD7"/>
    <w:rsid w:val="00602245"/>
    <w:rsid w:val="00603A0F"/>
    <w:rsid w:val="006040D7"/>
    <w:rsid w:val="006042BE"/>
    <w:rsid w:val="00615D0E"/>
    <w:rsid w:val="00615E88"/>
    <w:rsid w:val="006169FA"/>
    <w:rsid w:val="006205C6"/>
    <w:rsid w:val="0062098F"/>
    <w:rsid w:val="00620C3D"/>
    <w:rsid w:val="00631CAE"/>
    <w:rsid w:val="00631F3A"/>
    <w:rsid w:val="0063494C"/>
    <w:rsid w:val="006354DF"/>
    <w:rsid w:val="0063717F"/>
    <w:rsid w:val="00640110"/>
    <w:rsid w:val="006410EB"/>
    <w:rsid w:val="006420FC"/>
    <w:rsid w:val="0064337E"/>
    <w:rsid w:val="00643C90"/>
    <w:rsid w:val="0064587F"/>
    <w:rsid w:val="0065152C"/>
    <w:rsid w:val="00652D58"/>
    <w:rsid w:val="006543D2"/>
    <w:rsid w:val="00657B49"/>
    <w:rsid w:val="006609B7"/>
    <w:rsid w:val="00661B25"/>
    <w:rsid w:val="0066213F"/>
    <w:rsid w:val="00662D9A"/>
    <w:rsid w:val="006637AF"/>
    <w:rsid w:val="0066414A"/>
    <w:rsid w:val="00664227"/>
    <w:rsid w:val="006650A5"/>
    <w:rsid w:val="006702BD"/>
    <w:rsid w:val="00672054"/>
    <w:rsid w:val="006722A6"/>
    <w:rsid w:val="00673D8B"/>
    <w:rsid w:val="0067449A"/>
    <w:rsid w:val="00674644"/>
    <w:rsid w:val="006763AB"/>
    <w:rsid w:val="006813E0"/>
    <w:rsid w:val="006815B7"/>
    <w:rsid w:val="00681800"/>
    <w:rsid w:val="0068183C"/>
    <w:rsid w:val="006822F9"/>
    <w:rsid w:val="00683766"/>
    <w:rsid w:val="006858F8"/>
    <w:rsid w:val="00685A13"/>
    <w:rsid w:val="0068754E"/>
    <w:rsid w:val="006959D6"/>
    <w:rsid w:val="006973D7"/>
    <w:rsid w:val="006A06EB"/>
    <w:rsid w:val="006A1847"/>
    <w:rsid w:val="006A1B32"/>
    <w:rsid w:val="006A2D35"/>
    <w:rsid w:val="006A53F6"/>
    <w:rsid w:val="006A5C79"/>
    <w:rsid w:val="006A6E99"/>
    <w:rsid w:val="006B4F6F"/>
    <w:rsid w:val="006B50AC"/>
    <w:rsid w:val="006B7788"/>
    <w:rsid w:val="006C1D62"/>
    <w:rsid w:val="006C29C1"/>
    <w:rsid w:val="006C324B"/>
    <w:rsid w:val="006C417D"/>
    <w:rsid w:val="006C4985"/>
    <w:rsid w:val="006C60C6"/>
    <w:rsid w:val="006C6C52"/>
    <w:rsid w:val="006C76C7"/>
    <w:rsid w:val="006D0EB2"/>
    <w:rsid w:val="006D0EE9"/>
    <w:rsid w:val="006D1E05"/>
    <w:rsid w:val="006D24DB"/>
    <w:rsid w:val="006D2719"/>
    <w:rsid w:val="006D2F1D"/>
    <w:rsid w:val="006D330E"/>
    <w:rsid w:val="006D402C"/>
    <w:rsid w:val="006D5113"/>
    <w:rsid w:val="006E0D0D"/>
    <w:rsid w:val="006E3803"/>
    <w:rsid w:val="006E42CD"/>
    <w:rsid w:val="006E729A"/>
    <w:rsid w:val="006E75CB"/>
    <w:rsid w:val="006F2A77"/>
    <w:rsid w:val="006F3760"/>
    <w:rsid w:val="006F41C7"/>
    <w:rsid w:val="006F4231"/>
    <w:rsid w:val="006F6911"/>
    <w:rsid w:val="007009F9"/>
    <w:rsid w:val="00703D8C"/>
    <w:rsid w:val="00703EE1"/>
    <w:rsid w:val="0070582D"/>
    <w:rsid w:val="00706B3B"/>
    <w:rsid w:val="00711DE2"/>
    <w:rsid w:val="007154FB"/>
    <w:rsid w:val="00715FEF"/>
    <w:rsid w:val="00716593"/>
    <w:rsid w:val="00717633"/>
    <w:rsid w:val="00720B62"/>
    <w:rsid w:val="00722EA2"/>
    <w:rsid w:val="00722EE6"/>
    <w:rsid w:val="00723F41"/>
    <w:rsid w:val="00724449"/>
    <w:rsid w:val="0072487D"/>
    <w:rsid w:val="007255F5"/>
    <w:rsid w:val="00725F2B"/>
    <w:rsid w:val="00726214"/>
    <w:rsid w:val="00727582"/>
    <w:rsid w:val="00730339"/>
    <w:rsid w:val="00731709"/>
    <w:rsid w:val="0073670D"/>
    <w:rsid w:val="007367A2"/>
    <w:rsid w:val="00736BAE"/>
    <w:rsid w:val="0073744F"/>
    <w:rsid w:val="0073752D"/>
    <w:rsid w:val="0074182C"/>
    <w:rsid w:val="007429AE"/>
    <w:rsid w:val="007444D0"/>
    <w:rsid w:val="00745A6B"/>
    <w:rsid w:val="00746B7B"/>
    <w:rsid w:val="00751A2F"/>
    <w:rsid w:val="00751F5A"/>
    <w:rsid w:val="0075284C"/>
    <w:rsid w:val="00753513"/>
    <w:rsid w:val="007537FC"/>
    <w:rsid w:val="0075543C"/>
    <w:rsid w:val="0075565C"/>
    <w:rsid w:val="007575E1"/>
    <w:rsid w:val="00760B5C"/>
    <w:rsid w:val="00761EEA"/>
    <w:rsid w:val="0076246E"/>
    <w:rsid w:val="00762770"/>
    <w:rsid w:val="007634FE"/>
    <w:rsid w:val="00767B53"/>
    <w:rsid w:val="00770908"/>
    <w:rsid w:val="00770E7B"/>
    <w:rsid w:val="007726D8"/>
    <w:rsid w:val="007753E5"/>
    <w:rsid w:val="00781585"/>
    <w:rsid w:val="0078161B"/>
    <w:rsid w:val="00781C2C"/>
    <w:rsid w:val="00781C80"/>
    <w:rsid w:val="00782A32"/>
    <w:rsid w:val="0078383D"/>
    <w:rsid w:val="00785F92"/>
    <w:rsid w:val="00787019"/>
    <w:rsid w:val="007877BE"/>
    <w:rsid w:val="0079100E"/>
    <w:rsid w:val="0079160B"/>
    <w:rsid w:val="00792104"/>
    <w:rsid w:val="00792134"/>
    <w:rsid w:val="00792E47"/>
    <w:rsid w:val="007931AD"/>
    <w:rsid w:val="00793822"/>
    <w:rsid w:val="007940F5"/>
    <w:rsid w:val="00794C79"/>
    <w:rsid w:val="007959A9"/>
    <w:rsid w:val="00795CBE"/>
    <w:rsid w:val="00797C71"/>
    <w:rsid w:val="007A02BF"/>
    <w:rsid w:val="007A2830"/>
    <w:rsid w:val="007A33C2"/>
    <w:rsid w:val="007A388B"/>
    <w:rsid w:val="007A3963"/>
    <w:rsid w:val="007A3E9F"/>
    <w:rsid w:val="007A4B30"/>
    <w:rsid w:val="007A745D"/>
    <w:rsid w:val="007B081F"/>
    <w:rsid w:val="007B1832"/>
    <w:rsid w:val="007B29C9"/>
    <w:rsid w:val="007B3096"/>
    <w:rsid w:val="007B4FDA"/>
    <w:rsid w:val="007B5D18"/>
    <w:rsid w:val="007B6619"/>
    <w:rsid w:val="007B70A5"/>
    <w:rsid w:val="007B7665"/>
    <w:rsid w:val="007C2135"/>
    <w:rsid w:val="007C2566"/>
    <w:rsid w:val="007C2CC2"/>
    <w:rsid w:val="007C71AC"/>
    <w:rsid w:val="007C74AB"/>
    <w:rsid w:val="007C76AC"/>
    <w:rsid w:val="007D1F82"/>
    <w:rsid w:val="007D21A5"/>
    <w:rsid w:val="007D2519"/>
    <w:rsid w:val="007D4870"/>
    <w:rsid w:val="007D5035"/>
    <w:rsid w:val="007D5588"/>
    <w:rsid w:val="007D6435"/>
    <w:rsid w:val="007D69F9"/>
    <w:rsid w:val="007D73FE"/>
    <w:rsid w:val="007D7760"/>
    <w:rsid w:val="007E021E"/>
    <w:rsid w:val="007E13B1"/>
    <w:rsid w:val="007E1D26"/>
    <w:rsid w:val="007E2183"/>
    <w:rsid w:val="007E613F"/>
    <w:rsid w:val="007E71F3"/>
    <w:rsid w:val="007F11A5"/>
    <w:rsid w:val="007F2AB2"/>
    <w:rsid w:val="007F48B2"/>
    <w:rsid w:val="007F5F21"/>
    <w:rsid w:val="007F6809"/>
    <w:rsid w:val="007F68E6"/>
    <w:rsid w:val="00801B3A"/>
    <w:rsid w:val="00801D51"/>
    <w:rsid w:val="008054A4"/>
    <w:rsid w:val="00805BDC"/>
    <w:rsid w:val="00805F3A"/>
    <w:rsid w:val="008112B6"/>
    <w:rsid w:val="00811430"/>
    <w:rsid w:val="00811D26"/>
    <w:rsid w:val="00811E49"/>
    <w:rsid w:val="00813C7F"/>
    <w:rsid w:val="00815168"/>
    <w:rsid w:val="0081639D"/>
    <w:rsid w:val="00816612"/>
    <w:rsid w:val="00820958"/>
    <w:rsid w:val="008209C0"/>
    <w:rsid w:val="00820C7E"/>
    <w:rsid w:val="00820D9F"/>
    <w:rsid w:val="008211D4"/>
    <w:rsid w:val="0082127C"/>
    <w:rsid w:val="008215C7"/>
    <w:rsid w:val="00822C08"/>
    <w:rsid w:val="00822FE7"/>
    <w:rsid w:val="00824F9E"/>
    <w:rsid w:val="00825DAD"/>
    <w:rsid w:val="00827486"/>
    <w:rsid w:val="0083036C"/>
    <w:rsid w:val="00830CEB"/>
    <w:rsid w:val="0083217A"/>
    <w:rsid w:val="00832343"/>
    <w:rsid w:val="0083329A"/>
    <w:rsid w:val="008333FB"/>
    <w:rsid w:val="00833640"/>
    <w:rsid w:val="00840AEC"/>
    <w:rsid w:val="00840F63"/>
    <w:rsid w:val="00842BC5"/>
    <w:rsid w:val="0085360C"/>
    <w:rsid w:val="00853C83"/>
    <w:rsid w:val="00857D67"/>
    <w:rsid w:val="00860891"/>
    <w:rsid w:val="00862EBA"/>
    <w:rsid w:val="00864A80"/>
    <w:rsid w:val="00865D25"/>
    <w:rsid w:val="008703B8"/>
    <w:rsid w:val="00873E9B"/>
    <w:rsid w:val="00874CF1"/>
    <w:rsid w:val="00875461"/>
    <w:rsid w:val="008843D0"/>
    <w:rsid w:val="008851E9"/>
    <w:rsid w:val="00887F45"/>
    <w:rsid w:val="00890C65"/>
    <w:rsid w:val="00891694"/>
    <w:rsid w:val="00891A7E"/>
    <w:rsid w:val="0089605D"/>
    <w:rsid w:val="00897035"/>
    <w:rsid w:val="008A0569"/>
    <w:rsid w:val="008A11B0"/>
    <w:rsid w:val="008A3A03"/>
    <w:rsid w:val="008A42A0"/>
    <w:rsid w:val="008A480C"/>
    <w:rsid w:val="008A4B86"/>
    <w:rsid w:val="008A797D"/>
    <w:rsid w:val="008A79EA"/>
    <w:rsid w:val="008A7AFA"/>
    <w:rsid w:val="008B300C"/>
    <w:rsid w:val="008B44C4"/>
    <w:rsid w:val="008B4ADA"/>
    <w:rsid w:val="008B6226"/>
    <w:rsid w:val="008C125B"/>
    <w:rsid w:val="008C50BF"/>
    <w:rsid w:val="008C6612"/>
    <w:rsid w:val="008C699D"/>
    <w:rsid w:val="008D047A"/>
    <w:rsid w:val="008D1A37"/>
    <w:rsid w:val="008D2E6F"/>
    <w:rsid w:val="008D6AC1"/>
    <w:rsid w:val="008D6FDD"/>
    <w:rsid w:val="008E1172"/>
    <w:rsid w:val="008E22E6"/>
    <w:rsid w:val="008E30E5"/>
    <w:rsid w:val="008E39B3"/>
    <w:rsid w:val="008E48FB"/>
    <w:rsid w:val="008E64F9"/>
    <w:rsid w:val="008E781E"/>
    <w:rsid w:val="008E7A1F"/>
    <w:rsid w:val="008F07D2"/>
    <w:rsid w:val="008F1718"/>
    <w:rsid w:val="008F2E39"/>
    <w:rsid w:val="008F47D3"/>
    <w:rsid w:val="008F4D3D"/>
    <w:rsid w:val="008F74E5"/>
    <w:rsid w:val="0090346B"/>
    <w:rsid w:val="00903F05"/>
    <w:rsid w:val="00903F9C"/>
    <w:rsid w:val="00904BB3"/>
    <w:rsid w:val="00905DC4"/>
    <w:rsid w:val="00907A8A"/>
    <w:rsid w:val="00907D63"/>
    <w:rsid w:val="009108C0"/>
    <w:rsid w:val="00914179"/>
    <w:rsid w:val="0091417F"/>
    <w:rsid w:val="009173CB"/>
    <w:rsid w:val="0091780C"/>
    <w:rsid w:val="009179D4"/>
    <w:rsid w:val="00920040"/>
    <w:rsid w:val="00922373"/>
    <w:rsid w:val="00922FB5"/>
    <w:rsid w:val="00924BAF"/>
    <w:rsid w:val="00926524"/>
    <w:rsid w:val="009325D2"/>
    <w:rsid w:val="009330FA"/>
    <w:rsid w:val="00935070"/>
    <w:rsid w:val="00937077"/>
    <w:rsid w:val="00937135"/>
    <w:rsid w:val="0093796D"/>
    <w:rsid w:val="00942371"/>
    <w:rsid w:val="009437E2"/>
    <w:rsid w:val="00946926"/>
    <w:rsid w:val="00950461"/>
    <w:rsid w:val="00951FC2"/>
    <w:rsid w:val="00954419"/>
    <w:rsid w:val="0095641E"/>
    <w:rsid w:val="0095782E"/>
    <w:rsid w:val="00957E87"/>
    <w:rsid w:val="00961961"/>
    <w:rsid w:val="00962B69"/>
    <w:rsid w:val="00963B25"/>
    <w:rsid w:val="00965FB4"/>
    <w:rsid w:val="00971702"/>
    <w:rsid w:val="0097213A"/>
    <w:rsid w:val="00972317"/>
    <w:rsid w:val="0097574E"/>
    <w:rsid w:val="00975B07"/>
    <w:rsid w:val="009762CF"/>
    <w:rsid w:val="00976D3E"/>
    <w:rsid w:val="009830CF"/>
    <w:rsid w:val="00986098"/>
    <w:rsid w:val="00987052"/>
    <w:rsid w:val="00992A9E"/>
    <w:rsid w:val="00994EDD"/>
    <w:rsid w:val="00996322"/>
    <w:rsid w:val="00996466"/>
    <w:rsid w:val="009966C5"/>
    <w:rsid w:val="00996903"/>
    <w:rsid w:val="009A1206"/>
    <w:rsid w:val="009A3C23"/>
    <w:rsid w:val="009A6796"/>
    <w:rsid w:val="009B1286"/>
    <w:rsid w:val="009B263E"/>
    <w:rsid w:val="009B2A8D"/>
    <w:rsid w:val="009B4C21"/>
    <w:rsid w:val="009B5ADE"/>
    <w:rsid w:val="009B5CDC"/>
    <w:rsid w:val="009B6921"/>
    <w:rsid w:val="009B741A"/>
    <w:rsid w:val="009C05A2"/>
    <w:rsid w:val="009C3342"/>
    <w:rsid w:val="009C5149"/>
    <w:rsid w:val="009C6EAE"/>
    <w:rsid w:val="009C7805"/>
    <w:rsid w:val="009D12BA"/>
    <w:rsid w:val="009D2DF7"/>
    <w:rsid w:val="009D44F7"/>
    <w:rsid w:val="009D4FBC"/>
    <w:rsid w:val="009D618D"/>
    <w:rsid w:val="009D6FA8"/>
    <w:rsid w:val="009D771C"/>
    <w:rsid w:val="009E226F"/>
    <w:rsid w:val="009E5C02"/>
    <w:rsid w:val="009E7628"/>
    <w:rsid w:val="009F1D4B"/>
    <w:rsid w:val="009F217B"/>
    <w:rsid w:val="009F3AF7"/>
    <w:rsid w:val="009F3B86"/>
    <w:rsid w:val="009F3BEA"/>
    <w:rsid w:val="009F4E80"/>
    <w:rsid w:val="009F5378"/>
    <w:rsid w:val="009F6D58"/>
    <w:rsid w:val="00A014DE"/>
    <w:rsid w:val="00A04917"/>
    <w:rsid w:val="00A05033"/>
    <w:rsid w:val="00A05997"/>
    <w:rsid w:val="00A05F4D"/>
    <w:rsid w:val="00A063E7"/>
    <w:rsid w:val="00A07AD2"/>
    <w:rsid w:val="00A14BDD"/>
    <w:rsid w:val="00A15137"/>
    <w:rsid w:val="00A173EB"/>
    <w:rsid w:val="00A21507"/>
    <w:rsid w:val="00A21CD0"/>
    <w:rsid w:val="00A22735"/>
    <w:rsid w:val="00A22A1A"/>
    <w:rsid w:val="00A249B8"/>
    <w:rsid w:val="00A2524C"/>
    <w:rsid w:val="00A275BB"/>
    <w:rsid w:val="00A31BD8"/>
    <w:rsid w:val="00A3288E"/>
    <w:rsid w:val="00A33426"/>
    <w:rsid w:val="00A33A8F"/>
    <w:rsid w:val="00A355B7"/>
    <w:rsid w:val="00A35E33"/>
    <w:rsid w:val="00A36856"/>
    <w:rsid w:val="00A4322C"/>
    <w:rsid w:val="00A4368B"/>
    <w:rsid w:val="00A438EF"/>
    <w:rsid w:val="00A43EA4"/>
    <w:rsid w:val="00A45928"/>
    <w:rsid w:val="00A462BE"/>
    <w:rsid w:val="00A46850"/>
    <w:rsid w:val="00A53966"/>
    <w:rsid w:val="00A53AEB"/>
    <w:rsid w:val="00A54CFC"/>
    <w:rsid w:val="00A56113"/>
    <w:rsid w:val="00A57602"/>
    <w:rsid w:val="00A57936"/>
    <w:rsid w:val="00A57DE1"/>
    <w:rsid w:val="00A6344E"/>
    <w:rsid w:val="00A650CD"/>
    <w:rsid w:val="00A653E0"/>
    <w:rsid w:val="00A658D4"/>
    <w:rsid w:val="00A75AC1"/>
    <w:rsid w:val="00A776B1"/>
    <w:rsid w:val="00A84238"/>
    <w:rsid w:val="00A8430D"/>
    <w:rsid w:val="00A84649"/>
    <w:rsid w:val="00A850A2"/>
    <w:rsid w:val="00A92C38"/>
    <w:rsid w:val="00A94DC9"/>
    <w:rsid w:val="00A94FCC"/>
    <w:rsid w:val="00A95AF9"/>
    <w:rsid w:val="00A95D2A"/>
    <w:rsid w:val="00A96530"/>
    <w:rsid w:val="00AA47B5"/>
    <w:rsid w:val="00AB0C21"/>
    <w:rsid w:val="00AB1FE5"/>
    <w:rsid w:val="00AB5493"/>
    <w:rsid w:val="00AC02D5"/>
    <w:rsid w:val="00AC0AFD"/>
    <w:rsid w:val="00AC284A"/>
    <w:rsid w:val="00AC3EC5"/>
    <w:rsid w:val="00AC45F3"/>
    <w:rsid w:val="00AC5795"/>
    <w:rsid w:val="00AC63B9"/>
    <w:rsid w:val="00AC6640"/>
    <w:rsid w:val="00AC6675"/>
    <w:rsid w:val="00AC6EBB"/>
    <w:rsid w:val="00AC7F6E"/>
    <w:rsid w:val="00AD07AD"/>
    <w:rsid w:val="00AD112B"/>
    <w:rsid w:val="00AD1F35"/>
    <w:rsid w:val="00AD2F5B"/>
    <w:rsid w:val="00AD3F9D"/>
    <w:rsid w:val="00AD4C5D"/>
    <w:rsid w:val="00AD594D"/>
    <w:rsid w:val="00AD6787"/>
    <w:rsid w:val="00AE14BE"/>
    <w:rsid w:val="00AE14C2"/>
    <w:rsid w:val="00AE20A3"/>
    <w:rsid w:val="00AE2DB8"/>
    <w:rsid w:val="00AE4774"/>
    <w:rsid w:val="00AE4A48"/>
    <w:rsid w:val="00AE7365"/>
    <w:rsid w:val="00AF0D6B"/>
    <w:rsid w:val="00AF1EC7"/>
    <w:rsid w:val="00AF214E"/>
    <w:rsid w:val="00AF2E7E"/>
    <w:rsid w:val="00AF3598"/>
    <w:rsid w:val="00AF4372"/>
    <w:rsid w:val="00AF56B5"/>
    <w:rsid w:val="00AF7AEC"/>
    <w:rsid w:val="00B025A5"/>
    <w:rsid w:val="00B047AC"/>
    <w:rsid w:val="00B07210"/>
    <w:rsid w:val="00B10AE5"/>
    <w:rsid w:val="00B1176B"/>
    <w:rsid w:val="00B125DE"/>
    <w:rsid w:val="00B127AA"/>
    <w:rsid w:val="00B12AEF"/>
    <w:rsid w:val="00B142C3"/>
    <w:rsid w:val="00B167DF"/>
    <w:rsid w:val="00B16FF2"/>
    <w:rsid w:val="00B17BF2"/>
    <w:rsid w:val="00B23B32"/>
    <w:rsid w:val="00B323C7"/>
    <w:rsid w:val="00B32C85"/>
    <w:rsid w:val="00B339BF"/>
    <w:rsid w:val="00B33B90"/>
    <w:rsid w:val="00B350EA"/>
    <w:rsid w:val="00B36502"/>
    <w:rsid w:val="00B36E4E"/>
    <w:rsid w:val="00B41A15"/>
    <w:rsid w:val="00B42290"/>
    <w:rsid w:val="00B43444"/>
    <w:rsid w:val="00B4431D"/>
    <w:rsid w:val="00B456EF"/>
    <w:rsid w:val="00B46AE2"/>
    <w:rsid w:val="00B4796B"/>
    <w:rsid w:val="00B51308"/>
    <w:rsid w:val="00B51490"/>
    <w:rsid w:val="00B53801"/>
    <w:rsid w:val="00B60885"/>
    <w:rsid w:val="00B60B9F"/>
    <w:rsid w:val="00B6252E"/>
    <w:rsid w:val="00B63542"/>
    <w:rsid w:val="00B675FC"/>
    <w:rsid w:val="00B67B57"/>
    <w:rsid w:val="00B67DDC"/>
    <w:rsid w:val="00B70A44"/>
    <w:rsid w:val="00B71CCA"/>
    <w:rsid w:val="00B71E3E"/>
    <w:rsid w:val="00B7575E"/>
    <w:rsid w:val="00B75FBC"/>
    <w:rsid w:val="00B7644E"/>
    <w:rsid w:val="00B77702"/>
    <w:rsid w:val="00B8058D"/>
    <w:rsid w:val="00B81F28"/>
    <w:rsid w:val="00B822D4"/>
    <w:rsid w:val="00B826D6"/>
    <w:rsid w:val="00B82B85"/>
    <w:rsid w:val="00B838B1"/>
    <w:rsid w:val="00B852BF"/>
    <w:rsid w:val="00B90B39"/>
    <w:rsid w:val="00B914F7"/>
    <w:rsid w:val="00B91CFA"/>
    <w:rsid w:val="00B92CE5"/>
    <w:rsid w:val="00B935A0"/>
    <w:rsid w:val="00B93961"/>
    <w:rsid w:val="00B94456"/>
    <w:rsid w:val="00B953E2"/>
    <w:rsid w:val="00B9667C"/>
    <w:rsid w:val="00B973A9"/>
    <w:rsid w:val="00BA0193"/>
    <w:rsid w:val="00BA26FD"/>
    <w:rsid w:val="00BA5695"/>
    <w:rsid w:val="00BA5F42"/>
    <w:rsid w:val="00BA6B3B"/>
    <w:rsid w:val="00BB046B"/>
    <w:rsid w:val="00BB2C46"/>
    <w:rsid w:val="00BB3415"/>
    <w:rsid w:val="00BB3D34"/>
    <w:rsid w:val="00BB4678"/>
    <w:rsid w:val="00BC064F"/>
    <w:rsid w:val="00BC40C0"/>
    <w:rsid w:val="00BC4729"/>
    <w:rsid w:val="00BC4732"/>
    <w:rsid w:val="00BC4A7B"/>
    <w:rsid w:val="00BC7F59"/>
    <w:rsid w:val="00BD119E"/>
    <w:rsid w:val="00BD1482"/>
    <w:rsid w:val="00BD2AB3"/>
    <w:rsid w:val="00BD2BEC"/>
    <w:rsid w:val="00BD3E86"/>
    <w:rsid w:val="00BD4E3E"/>
    <w:rsid w:val="00BD75CA"/>
    <w:rsid w:val="00BD77C4"/>
    <w:rsid w:val="00BD7C8A"/>
    <w:rsid w:val="00BD7F41"/>
    <w:rsid w:val="00BE32F9"/>
    <w:rsid w:val="00BE39E6"/>
    <w:rsid w:val="00BE4130"/>
    <w:rsid w:val="00BE58A3"/>
    <w:rsid w:val="00BE7B8F"/>
    <w:rsid w:val="00BF1B1C"/>
    <w:rsid w:val="00BF3E14"/>
    <w:rsid w:val="00BF4AC6"/>
    <w:rsid w:val="00BF4D70"/>
    <w:rsid w:val="00BF7293"/>
    <w:rsid w:val="00C00AB5"/>
    <w:rsid w:val="00C02084"/>
    <w:rsid w:val="00C02501"/>
    <w:rsid w:val="00C0258C"/>
    <w:rsid w:val="00C02AD1"/>
    <w:rsid w:val="00C02B11"/>
    <w:rsid w:val="00C0735A"/>
    <w:rsid w:val="00C111C4"/>
    <w:rsid w:val="00C1181F"/>
    <w:rsid w:val="00C12BC9"/>
    <w:rsid w:val="00C12E47"/>
    <w:rsid w:val="00C13F1F"/>
    <w:rsid w:val="00C14768"/>
    <w:rsid w:val="00C158E0"/>
    <w:rsid w:val="00C16CD7"/>
    <w:rsid w:val="00C17FA8"/>
    <w:rsid w:val="00C21246"/>
    <w:rsid w:val="00C22F21"/>
    <w:rsid w:val="00C24BAC"/>
    <w:rsid w:val="00C33AA7"/>
    <w:rsid w:val="00C34F79"/>
    <w:rsid w:val="00C360B8"/>
    <w:rsid w:val="00C40289"/>
    <w:rsid w:val="00C4063D"/>
    <w:rsid w:val="00C41B33"/>
    <w:rsid w:val="00C560B5"/>
    <w:rsid w:val="00C63E1E"/>
    <w:rsid w:val="00C64562"/>
    <w:rsid w:val="00C66D87"/>
    <w:rsid w:val="00C673AE"/>
    <w:rsid w:val="00C704B4"/>
    <w:rsid w:val="00C70DC2"/>
    <w:rsid w:val="00C720C3"/>
    <w:rsid w:val="00C72649"/>
    <w:rsid w:val="00C74DB2"/>
    <w:rsid w:val="00C7593D"/>
    <w:rsid w:val="00C76A3E"/>
    <w:rsid w:val="00C76F62"/>
    <w:rsid w:val="00C83228"/>
    <w:rsid w:val="00C84E7C"/>
    <w:rsid w:val="00C931C4"/>
    <w:rsid w:val="00C93DAD"/>
    <w:rsid w:val="00C946AE"/>
    <w:rsid w:val="00C956CE"/>
    <w:rsid w:val="00C95F1D"/>
    <w:rsid w:val="00CA0E2A"/>
    <w:rsid w:val="00CA1DDE"/>
    <w:rsid w:val="00CA2F2C"/>
    <w:rsid w:val="00CA4C0E"/>
    <w:rsid w:val="00CB15BE"/>
    <w:rsid w:val="00CB2BEB"/>
    <w:rsid w:val="00CB4941"/>
    <w:rsid w:val="00CC1B07"/>
    <w:rsid w:val="00CC287A"/>
    <w:rsid w:val="00CC2D43"/>
    <w:rsid w:val="00CC3A2F"/>
    <w:rsid w:val="00CC3B22"/>
    <w:rsid w:val="00CC3B4C"/>
    <w:rsid w:val="00CC63F9"/>
    <w:rsid w:val="00CD0EFD"/>
    <w:rsid w:val="00CD1D77"/>
    <w:rsid w:val="00CD2B40"/>
    <w:rsid w:val="00CD41D1"/>
    <w:rsid w:val="00CD4FFE"/>
    <w:rsid w:val="00CD6C92"/>
    <w:rsid w:val="00CD7451"/>
    <w:rsid w:val="00CE0D81"/>
    <w:rsid w:val="00CE1260"/>
    <w:rsid w:val="00CE3052"/>
    <w:rsid w:val="00CE31D4"/>
    <w:rsid w:val="00CE5AE3"/>
    <w:rsid w:val="00CE5C4C"/>
    <w:rsid w:val="00CE757D"/>
    <w:rsid w:val="00CF2FA0"/>
    <w:rsid w:val="00CF2FC5"/>
    <w:rsid w:val="00CF3E71"/>
    <w:rsid w:val="00D01011"/>
    <w:rsid w:val="00D02386"/>
    <w:rsid w:val="00D030E4"/>
    <w:rsid w:val="00D04010"/>
    <w:rsid w:val="00D0580C"/>
    <w:rsid w:val="00D05A35"/>
    <w:rsid w:val="00D12BAE"/>
    <w:rsid w:val="00D13E48"/>
    <w:rsid w:val="00D15480"/>
    <w:rsid w:val="00D159B4"/>
    <w:rsid w:val="00D15F23"/>
    <w:rsid w:val="00D1761A"/>
    <w:rsid w:val="00D17FBE"/>
    <w:rsid w:val="00D21301"/>
    <w:rsid w:val="00D219B8"/>
    <w:rsid w:val="00D232E0"/>
    <w:rsid w:val="00D236EE"/>
    <w:rsid w:val="00D240D0"/>
    <w:rsid w:val="00D2486E"/>
    <w:rsid w:val="00D26158"/>
    <w:rsid w:val="00D26CA7"/>
    <w:rsid w:val="00D27AC5"/>
    <w:rsid w:val="00D32A80"/>
    <w:rsid w:val="00D32D38"/>
    <w:rsid w:val="00D4042E"/>
    <w:rsid w:val="00D41AC4"/>
    <w:rsid w:val="00D44FB4"/>
    <w:rsid w:val="00D45BB9"/>
    <w:rsid w:val="00D46EF9"/>
    <w:rsid w:val="00D50F0C"/>
    <w:rsid w:val="00D52855"/>
    <w:rsid w:val="00D53973"/>
    <w:rsid w:val="00D5658B"/>
    <w:rsid w:val="00D579DA"/>
    <w:rsid w:val="00D65D0C"/>
    <w:rsid w:val="00D66960"/>
    <w:rsid w:val="00D66E76"/>
    <w:rsid w:val="00D708EF"/>
    <w:rsid w:val="00D73746"/>
    <w:rsid w:val="00D750C1"/>
    <w:rsid w:val="00D7789F"/>
    <w:rsid w:val="00D80276"/>
    <w:rsid w:val="00D804EF"/>
    <w:rsid w:val="00D82CB3"/>
    <w:rsid w:val="00D831FC"/>
    <w:rsid w:val="00D84DDB"/>
    <w:rsid w:val="00D8712D"/>
    <w:rsid w:val="00D87235"/>
    <w:rsid w:val="00D908D1"/>
    <w:rsid w:val="00D9110E"/>
    <w:rsid w:val="00D91A58"/>
    <w:rsid w:val="00D93BFD"/>
    <w:rsid w:val="00D94A89"/>
    <w:rsid w:val="00DA2182"/>
    <w:rsid w:val="00DA2549"/>
    <w:rsid w:val="00DA5112"/>
    <w:rsid w:val="00DB1711"/>
    <w:rsid w:val="00DB360F"/>
    <w:rsid w:val="00DB424E"/>
    <w:rsid w:val="00DB6845"/>
    <w:rsid w:val="00DB79B6"/>
    <w:rsid w:val="00DB7DAF"/>
    <w:rsid w:val="00DC002D"/>
    <w:rsid w:val="00DC0F91"/>
    <w:rsid w:val="00DC2E12"/>
    <w:rsid w:val="00DC597A"/>
    <w:rsid w:val="00DC7132"/>
    <w:rsid w:val="00DC7668"/>
    <w:rsid w:val="00DD11F1"/>
    <w:rsid w:val="00DD1864"/>
    <w:rsid w:val="00DD1C2E"/>
    <w:rsid w:val="00DD258A"/>
    <w:rsid w:val="00DD2FAA"/>
    <w:rsid w:val="00DD38C0"/>
    <w:rsid w:val="00DD5EBC"/>
    <w:rsid w:val="00DD74C5"/>
    <w:rsid w:val="00DD773E"/>
    <w:rsid w:val="00DD7BFD"/>
    <w:rsid w:val="00DE0528"/>
    <w:rsid w:val="00DE08C1"/>
    <w:rsid w:val="00DE0FC8"/>
    <w:rsid w:val="00DE2F36"/>
    <w:rsid w:val="00DE34AC"/>
    <w:rsid w:val="00DE421C"/>
    <w:rsid w:val="00DE62B0"/>
    <w:rsid w:val="00DE73B3"/>
    <w:rsid w:val="00DF06DB"/>
    <w:rsid w:val="00DF1455"/>
    <w:rsid w:val="00DF3374"/>
    <w:rsid w:val="00DF7681"/>
    <w:rsid w:val="00E00561"/>
    <w:rsid w:val="00E03952"/>
    <w:rsid w:val="00E06D1A"/>
    <w:rsid w:val="00E07E22"/>
    <w:rsid w:val="00E12E8D"/>
    <w:rsid w:val="00E14F42"/>
    <w:rsid w:val="00E16C5C"/>
    <w:rsid w:val="00E23A30"/>
    <w:rsid w:val="00E2569D"/>
    <w:rsid w:val="00E27D30"/>
    <w:rsid w:val="00E301F1"/>
    <w:rsid w:val="00E30B79"/>
    <w:rsid w:val="00E32739"/>
    <w:rsid w:val="00E32F18"/>
    <w:rsid w:val="00E34AC0"/>
    <w:rsid w:val="00E34C2D"/>
    <w:rsid w:val="00E35733"/>
    <w:rsid w:val="00E35AD6"/>
    <w:rsid w:val="00E361D3"/>
    <w:rsid w:val="00E36DA6"/>
    <w:rsid w:val="00E40E76"/>
    <w:rsid w:val="00E41CB2"/>
    <w:rsid w:val="00E42129"/>
    <w:rsid w:val="00E4249D"/>
    <w:rsid w:val="00E442B1"/>
    <w:rsid w:val="00E451FC"/>
    <w:rsid w:val="00E46149"/>
    <w:rsid w:val="00E51D7E"/>
    <w:rsid w:val="00E53182"/>
    <w:rsid w:val="00E54ADB"/>
    <w:rsid w:val="00E56F13"/>
    <w:rsid w:val="00E6006F"/>
    <w:rsid w:val="00E61F44"/>
    <w:rsid w:val="00E62B83"/>
    <w:rsid w:val="00E62E74"/>
    <w:rsid w:val="00E6303D"/>
    <w:rsid w:val="00E63ACA"/>
    <w:rsid w:val="00E65214"/>
    <w:rsid w:val="00E65BB6"/>
    <w:rsid w:val="00E71F74"/>
    <w:rsid w:val="00E745FD"/>
    <w:rsid w:val="00E74B16"/>
    <w:rsid w:val="00E76776"/>
    <w:rsid w:val="00E7766E"/>
    <w:rsid w:val="00E80ECC"/>
    <w:rsid w:val="00E810DD"/>
    <w:rsid w:val="00E8179C"/>
    <w:rsid w:val="00E829CF"/>
    <w:rsid w:val="00E86B1C"/>
    <w:rsid w:val="00E916DA"/>
    <w:rsid w:val="00E919A1"/>
    <w:rsid w:val="00E92EDC"/>
    <w:rsid w:val="00E92F4E"/>
    <w:rsid w:val="00E933AD"/>
    <w:rsid w:val="00E93635"/>
    <w:rsid w:val="00E93804"/>
    <w:rsid w:val="00E93A88"/>
    <w:rsid w:val="00E94C2A"/>
    <w:rsid w:val="00E94D1B"/>
    <w:rsid w:val="00E94F6B"/>
    <w:rsid w:val="00E97FBA"/>
    <w:rsid w:val="00EA0D80"/>
    <w:rsid w:val="00EA29B7"/>
    <w:rsid w:val="00EA429C"/>
    <w:rsid w:val="00EA5781"/>
    <w:rsid w:val="00EA5B57"/>
    <w:rsid w:val="00EA784A"/>
    <w:rsid w:val="00EB01D4"/>
    <w:rsid w:val="00EB1D56"/>
    <w:rsid w:val="00EB625E"/>
    <w:rsid w:val="00EB7962"/>
    <w:rsid w:val="00EB7D3A"/>
    <w:rsid w:val="00EC2D99"/>
    <w:rsid w:val="00EC465B"/>
    <w:rsid w:val="00EC6C51"/>
    <w:rsid w:val="00EC7802"/>
    <w:rsid w:val="00EC795C"/>
    <w:rsid w:val="00ED0144"/>
    <w:rsid w:val="00ED1EDF"/>
    <w:rsid w:val="00ED2AEB"/>
    <w:rsid w:val="00ED639F"/>
    <w:rsid w:val="00ED71A5"/>
    <w:rsid w:val="00EE16BF"/>
    <w:rsid w:val="00EE2536"/>
    <w:rsid w:val="00EE2D9E"/>
    <w:rsid w:val="00EE5A9A"/>
    <w:rsid w:val="00EE69B9"/>
    <w:rsid w:val="00EF0DF3"/>
    <w:rsid w:val="00EF0F42"/>
    <w:rsid w:val="00EF3C7F"/>
    <w:rsid w:val="00F00989"/>
    <w:rsid w:val="00F05D5D"/>
    <w:rsid w:val="00F070B0"/>
    <w:rsid w:val="00F07BF2"/>
    <w:rsid w:val="00F23435"/>
    <w:rsid w:val="00F23BF8"/>
    <w:rsid w:val="00F23C04"/>
    <w:rsid w:val="00F25DF3"/>
    <w:rsid w:val="00F26279"/>
    <w:rsid w:val="00F27451"/>
    <w:rsid w:val="00F308EF"/>
    <w:rsid w:val="00F3212C"/>
    <w:rsid w:val="00F33AB2"/>
    <w:rsid w:val="00F35ADB"/>
    <w:rsid w:val="00F35E6A"/>
    <w:rsid w:val="00F36007"/>
    <w:rsid w:val="00F364D7"/>
    <w:rsid w:val="00F41E71"/>
    <w:rsid w:val="00F45129"/>
    <w:rsid w:val="00F46D58"/>
    <w:rsid w:val="00F4787C"/>
    <w:rsid w:val="00F51058"/>
    <w:rsid w:val="00F51FA6"/>
    <w:rsid w:val="00F531AA"/>
    <w:rsid w:val="00F5356C"/>
    <w:rsid w:val="00F5473B"/>
    <w:rsid w:val="00F54A3D"/>
    <w:rsid w:val="00F55B26"/>
    <w:rsid w:val="00F55ED1"/>
    <w:rsid w:val="00F57883"/>
    <w:rsid w:val="00F57A9D"/>
    <w:rsid w:val="00F6122D"/>
    <w:rsid w:val="00F61FA5"/>
    <w:rsid w:val="00F62582"/>
    <w:rsid w:val="00F62CFA"/>
    <w:rsid w:val="00F63214"/>
    <w:rsid w:val="00F655E1"/>
    <w:rsid w:val="00F665C4"/>
    <w:rsid w:val="00F67316"/>
    <w:rsid w:val="00F702F2"/>
    <w:rsid w:val="00F72767"/>
    <w:rsid w:val="00F73EAC"/>
    <w:rsid w:val="00F74FB1"/>
    <w:rsid w:val="00F75289"/>
    <w:rsid w:val="00F75AFD"/>
    <w:rsid w:val="00F75F5D"/>
    <w:rsid w:val="00F805D5"/>
    <w:rsid w:val="00F80C66"/>
    <w:rsid w:val="00F82AB7"/>
    <w:rsid w:val="00F83B23"/>
    <w:rsid w:val="00F860FF"/>
    <w:rsid w:val="00F86F23"/>
    <w:rsid w:val="00F90764"/>
    <w:rsid w:val="00F90F34"/>
    <w:rsid w:val="00F90F40"/>
    <w:rsid w:val="00F92A45"/>
    <w:rsid w:val="00F938B9"/>
    <w:rsid w:val="00F93E99"/>
    <w:rsid w:val="00F9442A"/>
    <w:rsid w:val="00F95919"/>
    <w:rsid w:val="00F95A9B"/>
    <w:rsid w:val="00F960E5"/>
    <w:rsid w:val="00FA4297"/>
    <w:rsid w:val="00FA5311"/>
    <w:rsid w:val="00FA6848"/>
    <w:rsid w:val="00FA7FD6"/>
    <w:rsid w:val="00FB0055"/>
    <w:rsid w:val="00FB0C11"/>
    <w:rsid w:val="00FB16BA"/>
    <w:rsid w:val="00FB23CE"/>
    <w:rsid w:val="00FB3B31"/>
    <w:rsid w:val="00FB41FA"/>
    <w:rsid w:val="00FB7D89"/>
    <w:rsid w:val="00FC0356"/>
    <w:rsid w:val="00FC0C61"/>
    <w:rsid w:val="00FC0DB6"/>
    <w:rsid w:val="00FC1592"/>
    <w:rsid w:val="00FC49B1"/>
    <w:rsid w:val="00FC527D"/>
    <w:rsid w:val="00FC7662"/>
    <w:rsid w:val="00FC7664"/>
    <w:rsid w:val="00FC7F86"/>
    <w:rsid w:val="00FD3380"/>
    <w:rsid w:val="00FD45DA"/>
    <w:rsid w:val="00FD5267"/>
    <w:rsid w:val="00FE21C3"/>
    <w:rsid w:val="00FE21E4"/>
    <w:rsid w:val="00FE28A2"/>
    <w:rsid w:val="00FE357C"/>
    <w:rsid w:val="00FE4630"/>
    <w:rsid w:val="00FE4B4B"/>
    <w:rsid w:val="00FE4BCB"/>
    <w:rsid w:val="00FE5097"/>
    <w:rsid w:val="00FE5441"/>
    <w:rsid w:val="00FE6BFC"/>
    <w:rsid w:val="00FE6D96"/>
    <w:rsid w:val="00FF0586"/>
    <w:rsid w:val="00FF2845"/>
    <w:rsid w:val="027E5188"/>
    <w:rsid w:val="04BB5B2E"/>
    <w:rsid w:val="07C70D85"/>
    <w:rsid w:val="085A36BF"/>
    <w:rsid w:val="0ACA1C03"/>
    <w:rsid w:val="0C8E2259"/>
    <w:rsid w:val="0CB12005"/>
    <w:rsid w:val="0EF13522"/>
    <w:rsid w:val="0F9002F7"/>
    <w:rsid w:val="17163361"/>
    <w:rsid w:val="17B33D50"/>
    <w:rsid w:val="17E254C9"/>
    <w:rsid w:val="181E65B9"/>
    <w:rsid w:val="1BD5370C"/>
    <w:rsid w:val="22B83E12"/>
    <w:rsid w:val="23CE275B"/>
    <w:rsid w:val="2CD261F9"/>
    <w:rsid w:val="31DA1279"/>
    <w:rsid w:val="36925C36"/>
    <w:rsid w:val="39EC6ECD"/>
    <w:rsid w:val="3AEF9FE0"/>
    <w:rsid w:val="40630BF2"/>
    <w:rsid w:val="46F1301A"/>
    <w:rsid w:val="4A954C7E"/>
    <w:rsid w:val="4A9E24EC"/>
    <w:rsid w:val="4ACF7FC3"/>
    <w:rsid w:val="4D8C4FB8"/>
    <w:rsid w:val="4F2448DA"/>
    <w:rsid w:val="5D8F7E2E"/>
    <w:rsid w:val="5DC05BC4"/>
    <w:rsid w:val="60D26A5E"/>
    <w:rsid w:val="63C00423"/>
    <w:rsid w:val="6B2F40A0"/>
    <w:rsid w:val="6EE66C1B"/>
    <w:rsid w:val="6F8D7D50"/>
    <w:rsid w:val="750B4A83"/>
    <w:rsid w:val="75D812E7"/>
    <w:rsid w:val="7701022A"/>
    <w:rsid w:val="7A634F73"/>
    <w:rsid w:val="7AD91872"/>
    <w:rsid w:val="7AF72CB4"/>
    <w:rsid w:val="7B9312EC"/>
    <w:rsid w:val="7CF97B02"/>
    <w:rsid w:val="D9BF0F54"/>
    <w:rsid w:val="FF0E8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qFormat/>
    <w:uiPriority w:val="0"/>
    <w:pPr>
      <w:jc w:val="left"/>
    </w:pPr>
  </w:style>
  <w:style w:type="paragraph" w:styleId="3">
    <w:name w:val="Balloon Text"/>
    <w:basedOn w:val="1"/>
    <w:link w:val="16"/>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link w:val="17"/>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styleId="7">
    <w:name w:val="annotation subject"/>
    <w:basedOn w:val="2"/>
    <w:next w:val="2"/>
    <w:link w:val="14"/>
    <w:autoRedefine/>
    <w:qFormat/>
    <w:uiPriority w:val="0"/>
    <w:rPr>
      <w:b/>
      <w:bCs/>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character" w:styleId="12">
    <w:name w:val="Hyperlink"/>
    <w:basedOn w:val="10"/>
    <w:autoRedefine/>
    <w:qFormat/>
    <w:uiPriority w:val="0"/>
    <w:rPr>
      <w:color w:val="0000FF"/>
      <w:u w:val="single"/>
    </w:rPr>
  </w:style>
  <w:style w:type="character" w:styleId="13">
    <w:name w:val="annotation reference"/>
    <w:basedOn w:val="10"/>
    <w:autoRedefine/>
    <w:qFormat/>
    <w:uiPriority w:val="0"/>
    <w:rPr>
      <w:sz w:val="21"/>
      <w:szCs w:val="21"/>
    </w:rPr>
  </w:style>
  <w:style w:type="character" w:customStyle="1" w:styleId="14">
    <w:name w:val="批注主题 字符"/>
    <w:basedOn w:val="15"/>
    <w:link w:val="7"/>
    <w:autoRedefine/>
    <w:qFormat/>
    <w:uiPriority w:val="0"/>
    <w:rPr>
      <w:b/>
      <w:bCs/>
      <w:kern w:val="2"/>
      <w:sz w:val="21"/>
      <w:szCs w:val="24"/>
    </w:rPr>
  </w:style>
  <w:style w:type="character" w:customStyle="1" w:styleId="15">
    <w:name w:val="批注文字 字符"/>
    <w:basedOn w:val="10"/>
    <w:link w:val="2"/>
    <w:autoRedefine/>
    <w:qFormat/>
    <w:uiPriority w:val="0"/>
    <w:rPr>
      <w:kern w:val="2"/>
      <w:sz w:val="21"/>
      <w:szCs w:val="24"/>
    </w:rPr>
  </w:style>
  <w:style w:type="character" w:customStyle="1" w:styleId="16">
    <w:name w:val="批注框文本 字符"/>
    <w:basedOn w:val="10"/>
    <w:link w:val="3"/>
    <w:autoRedefine/>
    <w:qFormat/>
    <w:uiPriority w:val="0"/>
    <w:rPr>
      <w:kern w:val="2"/>
      <w:sz w:val="18"/>
      <w:szCs w:val="18"/>
    </w:rPr>
  </w:style>
  <w:style w:type="character" w:customStyle="1" w:styleId="17">
    <w:name w:val="页眉 字符"/>
    <w:basedOn w:val="10"/>
    <w:link w:val="5"/>
    <w:autoRedefine/>
    <w:qFormat/>
    <w:uiPriority w:val="99"/>
    <w:rPr>
      <w:kern w:val="2"/>
      <w:sz w:val="18"/>
      <w:szCs w:val="18"/>
    </w:rPr>
  </w:style>
  <w:style w:type="paragraph" w:styleId="18">
    <w:name w:val="List Paragraph"/>
    <w:basedOn w:val="1"/>
    <w:autoRedefine/>
    <w:qFormat/>
    <w:uiPriority w:val="34"/>
    <w:pPr>
      <w:ind w:firstLine="420" w:firstLineChars="200"/>
    </w:pPr>
  </w:style>
  <w:style w:type="paragraph" w:customStyle="1" w:styleId="19">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0">
    <w:name w:val="s1"/>
    <w:qFormat/>
    <w:uiPriority w:val="0"/>
    <w:rPr>
      <w:rFonts w:ascii="Helvetica Neue" w:hAnsi="Helvetica Neue" w:eastAsia="Helvetica Neue" w:cs="Helvetica Neue"/>
      <w:sz w:val="26"/>
      <w:szCs w:val="26"/>
    </w:rPr>
  </w:style>
  <w:style w:type="paragraph" w:customStyle="1" w:styleId="21">
    <w:name w:val="p1"/>
    <w:qFormat/>
    <w:uiPriority w:val="0"/>
    <w:rPr>
      <w:rFonts w:ascii="pingfang sc" w:hAnsi="pingfang sc" w:eastAsia="pingfang sc" w:cs="Times New Roman"/>
      <w:sz w:val="26"/>
      <w:szCs w:val="26"/>
      <w:lang w:val="en-US" w:eastAsia="zh-CN" w:bidi="ar-SA"/>
    </w:rPr>
  </w:style>
  <w:style w:type="paragraph" w:customStyle="1" w:styleId="22">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ZTE</Company>
  <Pages>6</Pages>
  <Words>3132</Words>
  <Characters>3224</Characters>
  <Lines>24</Lines>
  <Paragraphs>6</Paragraphs>
  <TotalTime>75</TotalTime>
  <ScaleCrop>false</ScaleCrop>
  <LinksUpToDate>false</LinksUpToDate>
  <CharactersWithSpaces>3352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2024-11-04T07:12:00Z</dcterms:created>
  <dc:creator>证券部</dc:creator>
  <cp:lastModifiedBy>ye</cp:lastModifiedBy>
  <cp:lastPrinted>2017-11-15T16:34:00Z</cp:lastPrinted>
  <dcterms:modified xsi:type="dcterms:W3CDTF">2024-11-04T08:32:18Z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4F3CD250FDAC4D6D994C24EBB8BEDED0_13</vt:lpwstr>
  </property>
</Properties>
</file>