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BB37" w14:textId="77777777" w:rsidR="005C2254" w:rsidRPr="006A6990" w:rsidRDefault="00C266DE">
      <w:pPr>
        <w:pStyle w:val="1"/>
        <w:rPr>
          <w:rFonts w:ascii="Times New Roman" w:eastAsia="宋体" w:hAnsi="Times New Roman" w:cs="Times New Roman"/>
          <w:sz w:val="20"/>
          <w:szCs w:val="20"/>
          <w:lang w:val="en-US"/>
        </w:rPr>
      </w:pPr>
      <w:r w:rsidRPr="006A6990">
        <w:rPr>
          <w:rFonts w:ascii="Times New Roman" w:eastAsia="宋体" w:hAnsi="Times New Roman" w:cs="Times New Roman"/>
          <w:sz w:val="20"/>
          <w:szCs w:val="20"/>
          <w:lang w:val="en-US"/>
        </w:rPr>
        <w:t>证券代码：</w:t>
      </w:r>
      <w:r w:rsidRPr="006A6990">
        <w:rPr>
          <w:rFonts w:ascii="Times New Roman" w:eastAsia="宋体" w:hAnsi="Times New Roman" w:cs="Times New Roman"/>
          <w:sz w:val="20"/>
          <w:szCs w:val="20"/>
          <w:lang w:val="en-US"/>
        </w:rPr>
        <w:t xml:space="preserve">600143                                                 </w:t>
      </w:r>
      <w:r w:rsidRPr="006A6990">
        <w:rPr>
          <w:rFonts w:ascii="Times New Roman" w:eastAsia="宋体" w:hAnsi="Times New Roman" w:cs="Times New Roman"/>
          <w:sz w:val="20"/>
          <w:szCs w:val="20"/>
          <w:lang w:val="en-US"/>
        </w:rPr>
        <w:t>证券简称：金发科技</w:t>
      </w:r>
    </w:p>
    <w:p w14:paraId="1C0B17C1" w14:textId="77777777" w:rsidR="005C2254" w:rsidRPr="006A6990" w:rsidRDefault="005C2254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709B1ABB" w14:textId="77777777" w:rsidR="005C2254" w:rsidRPr="006A6990" w:rsidRDefault="00C266D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6A6990">
        <w:rPr>
          <w:rFonts w:ascii="Times New Roman" w:eastAsia="宋体" w:hAnsi="Times New Roman" w:cs="Times New Roman"/>
          <w:b/>
          <w:bCs/>
          <w:sz w:val="44"/>
          <w:szCs w:val="44"/>
        </w:rPr>
        <w:t>金发科技股份有限公司</w:t>
      </w:r>
    </w:p>
    <w:p w14:paraId="095D6D0D" w14:textId="77777777" w:rsidR="005C2254" w:rsidRPr="006A6990" w:rsidRDefault="00C266DE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6A6990">
        <w:rPr>
          <w:rFonts w:ascii="Times New Roman" w:eastAsia="宋体" w:hAnsi="Times New Roman" w:cs="Times New Roman"/>
          <w:b/>
          <w:bCs/>
          <w:sz w:val="44"/>
          <w:szCs w:val="44"/>
        </w:rPr>
        <w:t>投资者关系活动记录表</w:t>
      </w:r>
    </w:p>
    <w:p w14:paraId="602D3B9A" w14:textId="7F740C4F" w:rsidR="005C2254" w:rsidRPr="006A6990" w:rsidRDefault="00C266DE">
      <w:pPr>
        <w:spacing w:before="120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 w:rsidRPr="006A6990">
        <w:rPr>
          <w:rFonts w:ascii="Times New Roman" w:eastAsia="宋体" w:hAnsi="Times New Roman" w:cs="Times New Roman"/>
          <w:sz w:val="20"/>
          <w:szCs w:val="20"/>
        </w:rPr>
        <w:t>编号：</w:t>
      </w:r>
      <w:r w:rsidRPr="006A6990">
        <w:rPr>
          <w:rFonts w:ascii="Times New Roman" w:eastAsia="宋体" w:hAnsi="Times New Roman" w:cs="Times New Roman"/>
          <w:sz w:val="20"/>
          <w:szCs w:val="20"/>
          <w:lang w:val="en-US"/>
        </w:rPr>
        <w:t>2024</w:t>
      </w:r>
      <w:r w:rsidRPr="006A6990">
        <w:rPr>
          <w:rFonts w:ascii="Times New Roman" w:eastAsia="宋体" w:hAnsi="Times New Roman" w:cs="Times New Roman"/>
          <w:sz w:val="20"/>
          <w:szCs w:val="20"/>
        </w:rPr>
        <w:t>-00</w:t>
      </w:r>
      <w:r w:rsidR="00111EE9">
        <w:rPr>
          <w:rFonts w:ascii="Times New Roman" w:eastAsia="宋体" w:hAnsi="Times New Roman" w:cs="Times New Roman"/>
          <w:sz w:val="20"/>
          <w:szCs w:val="20"/>
        </w:rPr>
        <w:t>7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6A6990" w:rsidRPr="00934607" w14:paraId="53FD1752" w14:textId="77777777" w:rsidTr="00A66A0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5C2254" w:rsidRPr="00934607" w:rsidRDefault="00C266DE" w:rsidP="00A66A0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0E6145FB" w:rsidR="005C2254" w:rsidRPr="00934607" w:rsidRDefault="005E30BE" w:rsidP="00DD04A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35656" w:rsidRPr="00934607">
                  <w:rPr>
                    <w:rFonts w:ascii="Times New Roman" w:hAnsi="Times New Roman" w:cs="Times New Roman"/>
                    <w:b w:val="0"/>
                    <w:color w:val="auto"/>
                  </w:rPr>
                  <w:sym w:font="Wingdings 2" w:char="F052"/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特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定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对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象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调研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35656" w:rsidRPr="00934607">
                  <w:rPr>
                    <w:rFonts w:ascii="Times New Roman" w:hAnsi="Times New Roman" w:cs="Times New Roman"/>
                    <w:b w:val="0"/>
                    <w:color w:val="auto"/>
                  </w:rPr>
                  <w:sym w:font="Wingdings 2" w:char="F052"/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分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析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师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会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议</w:t>
            </w:r>
          </w:p>
          <w:p w14:paraId="6D2945DC" w14:textId="77777777" w:rsidR="005C2254" w:rsidRPr="00934607" w:rsidRDefault="005E30BE" w:rsidP="00DD04A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66DE" w:rsidRPr="00934607">
                  <w:rPr>
                    <w:rFonts w:ascii="Segoe UI Symbol" w:eastAsia="MS Gothic" w:hAnsi="Segoe UI Symbol" w:cs="Segoe UI Symbol"/>
                    <w:b w:val="0"/>
                    <w:color w:val="auto"/>
                  </w:rPr>
                  <w:t>☐</w:t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媒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体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采访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 xml:space="preserve">   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66DE" w:rsidRPr="00934607">
                  <w:rPr>
                    <w:rFonts w:ascii="Segoe UI Symbol" w:eastAsia="MS Gothic" w:hAnsi="Segoe UI Symbol" w:cs="Segoe UI Symbol"/>
                    <w:b w:val="0"/>
                    <w:color w:val="auto"/>
                  </w:rPr>
                  <w:t>☐</w:t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业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绩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说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明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会</w:t>
            </w:r>
          </w:p>
          <w:p w14:paraId="636A0A9F" w14:textId="1922CD42" w:rsidR="005C2254" w:rsidRPr="00934607" w:rsidRDefault="005E30BE" w:rsidP="00DD04A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66DE" w:rsidRPr="00934607">
                  <w:rPr>
                    <w:rFonts w:ascii="Segoe UI Symbol" w:eastAsia="MS Gothic" w:hAnsi="Segoe UI Symbol" w:cs="Segoe UI Symbol"/>
                    <w:b w:val="0"/>
                    <w:color w:val="auto"/>
                  </w:rPr>
                  <w:t>☐</w:t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新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闻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发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布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会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1EE9" w:rsidRPr="00934607">
                  <w:rPr>
                    <w:rFonts w:ascii="Times New Roman" w:hAnsi="Times New Roman" w:cs="Times New Roman"/>
                    <w:b w:val="0"/>
                    <w:color w:val="auto"/>
                  </w:rPr>
                  <w:sym w:font="Wingdings 2" w:char="F052"/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路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  <w:spacing w:val="-3"/>
              </w:rPr>
              <w:t>演</w:t>
            </w:r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活动</w:t>
            </w:r>
          </w:p>
          <w:p w14:paraId="76265FC8" w14:textId="77777777" w:rsidR="005C2254" w:rsidRPr="00934607" w:rsidRDefault="005E30BE" w:rsidP="00DD04A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66DE" w:rsidRPr="00934607">
                  <w:rPr>
                    <w:rFonts w:ascii="Segoe UI Symbol" w:eastAsia="MS Gothic" w:hAnsi="Segoe UI Symbol" w:cs="Segoe UI Symbol"/>
                    <w:b w:val="0"/>
                    <w:color w:val="auto"/>
                  </w:rPr>
                  <w:t>☐</w:t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现场参观</w:t>
            </w:r>
          </w:p>
          <w:p w14:paraId="39357CAF" w14:textId="77777777" w:rsidR="005C2254" w:rsidRPr="00934607" w:rsidRDefault="005E30BE" w:rsidP="00DD04A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b w:val="0"/>
                  <w:color w:val="auto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66DE" w:rsidRPr="00934607">
                  <w:rPr>
                    <w:rFonts w:ascii="Segoe UI Symbol" w:eastAsia="MS Gothic" w:hAnsi="Segoe UI Symbol" w:cs="Segoe UI Symbol"/>
                    <w:b w:val="0"/>
                    <w:color w:val="auto"/>
                  </w:rPr>
                  <w:t>☐</w:t>
                </w:r>
              </w:sdtContent>
            </w:sdt>
            <w:r w:rsidR="00C266DE" w:rsidRPr="00934607">
              <w:rPr>
                <w:rFonts w:ascii="Times New Roman" w:hAnsi="Times New Roman" w:cs="Times New Roman"/>
                <w:b w:val="0"/>
                <w:color w:val="auto"/>
              </w:rPr>
              <w:t>其他（请文字说明其他活动内容）</w:t>
            </w:r>
          </w:p>
        </w:tc>
      </w:tr>
      <w:tr w:rsidR="006A6990" w:rsidRPr="00934607" w14:paraId="5003BE62" w14:textId="77777777" w:rsidTr="00A66A07">
        <w:trPr>
          <w:trHeight w:val="451"/>
          <w:jc w:val="center"/>
        </w:trPr>
        <w:tc>
          <w:tcPr>
            <w:tcW w:w="1413" w:type="dxa"/>
            <w:vAlign w:val="center"/>
          </w:tcPr>
          <w:p w14:paraId="2F748526" w14:textId="670A5157" w:rsidR="005C2254" w:rsidRPr="00934607" w:rsidRDefault="00C266DE" w:rsidP="00A66A0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参与单位</w:t>
            </w:r>
            <w:r w:rsidR="004F711F" w:rsidRPr="00934607">
              <w:rPr>
                <w:rFonts w:ascii="Times New Roman" w:hAnsi="Times New Roman" w:cs="Times New Roman"/>
                <w:color w:val="auto"/>
              </w:rPr>
              <w:t>及人员</w:t>
            </w:r>
            <w:r w:rsidRPr="00934607">
              <w:rPr>
                <w:rFonts w:ascii="Times New Roman" w:hAnsi="Times New Roman" w:cs="Times New Roman"/>
                <w:color w:val="auto"/>
              </w:rPr>
              <w:t>名称</w:t>
            </w:r>
          </w:p>
        </w:tc>
        <w:tc>
          <w:tcPr>
            <w:tcW w:w="7112" w:type="dxa"/>
            <w:vAlign w:val="center"/>
          </w:tcPr>
          <w:p w14:paraId="32D5D2C6" w14:textId="727D2385" w:rsidR="005C2254" w:rsidRPr="00934607" w:rsidRDefault="0073565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34607">
              <w:rPr>
                <w:rFonts w:ascii="Times New Roman" w:hAnsi="Times New Roman" w:cs="Times New Roman"/>
              </w:rPr>
              <w:t>见附件</w:t>
            </w:r>
          </w:p>
        </w:tc>
      </w:tr>
      <w:tr w:rsidR="006A6990" w:rsidRPr="00934607" w14:paraId="5EC88368" w14:textId="77777777" w:rsidTr="00A66A07">
        <w:trPr>
          <w:trHeight w:val="526"/>
          <w:jc w:val="center"/>
        </w:trPr>
        <w:tc>
          <w:tcPr>
            <w:tcW w:w="1413" w:type="dxa"/>
            <w:vAlign w:val="center"/>
          </w:tcPr>
          <w:p w14:paraId="3AABA83E" w14:textId="77777777" w:rsidR="005C2254" w:rsidRPr="00934607" w:rsidRDefault="00C266DE" w:rsidP="00A66A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时间</w:t>
            </w:r>
          </w:p>
        </w:tc>
        <w:tc>
          <w:tcPr>
            <w:tcW w:w="7112" w:type="dxa"/>
            <w:vAlign w:val="center"/>
          </w:tcPr>
          <w:p w14:paraId="582FED4D" w14:textId="3E3A4242" w:rsidR="005C2254" w:rsidRPr="00934607" w:rsidRDefault="00DD3AD1" w:rsidP="0073565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  <w:r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年三季报业绩交流会</w:t>
            </w:r>
            <w:r w:rsidR="00C71C22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：</w:t>
            </w:r>
            <w:r w:rsidR="00C266DE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  <w:r w:rsidR="00C266DE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C266DE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  <w:r w:rsidR="00C266DE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C266DE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10:00-1</w:t>
            </w:r>
            <w:r w:rsidR="00437B17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C266DE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:00</w:t>
            </w:r>
          </w:p>
          <w:p w14:paraId="666228EA" w14:textId="79057BC6" w:rsidR="00735656" w:rsidRPr="00934607" w:rsidRDefault="00C71C22" w:rsidP="00735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现场调研：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2024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年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月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>日</w:t>
            </w:r>
            <w:r w:rsidR="00735656" w:rsidRPr="0093460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15:00-17:00</w:t>
            </w:r>
          </w:p>
        </w:tc>
      </w:tr>
      <w:tr w:rsidR="006A6990" w:rsidRPr="00934607" w14:paraId="778D3EA6" w14:textId="77777777" w:rsidTr="00A66A07">
        <w:trPr>
          <w:trHeight w:val="900"/>
          <w:jc w:val="center"/>
        </w:trPr>
        <w:tc>
          <w:tcPr>
            <w:tcW w:w="1413" w:type="dxa"/>
            <w:vAlign w:val="center"/>
          </w:tcPr>
          <w:p w14:paraId="4D6603EC" w14:textId="77777777" w:rsidR="005C2254" w:rsidRPr="00934607" w:rsidRDefault="00C266DE" w:rsidP="00A66A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6F665EE5" w:rsidR="00735656" w:rsidRPr="00934607" w:rsidRDefault="000B6628" w:rsidP="00092ED6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公司采用网络及电话会议的形式通过价值在线网络平台（网址：</w:t>
            </w:r>
            <w:r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www.ir-online.cn</w:t>
            </w:r>
            <w:r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）召开了</w:t>
            </w:r>
            <w:r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2024</w:t>
            </w:r>
            <w:r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年三季报业绩交流会；</w:t>
            </w:r>
            <w:r w:rsidR="00092ED6"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公司在广州总部接待</w:t>
            </w:r>
            <w:r w:rsidR="009E1674"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机构</w:t>
            </w:r>
            <w:r w:rsidR="00A904BD"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现场调研</w:t>
            </w:r>
            <w:r w:rsidR="00092ED6" w:rsidRPr="0093460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。</w:t>
            </w:r>
          </w:p>
        </w:tc>
      </w:tr>
      <w:tr w:rsidR="006A6990" w:rsidRPr="00934607" w14:paraId="285D7903" w14:textId="77777777" w:rsidTr="00A66A07">
        <w:trPr>
          <w:trHeight w:val="894"/>
          <w:jc w:val="center"/>
        </w:trPr>
        <w:tc>
          <w:tcPr>
            <w:tcW w:w="1413" w:type="dxa"/>
            <w:vAlign w:val="center"/>
          </w:tcPr>
          <w:p w14:paraId="00A94D69" w14:textId="77777777" w:rsidR="005C2254" w:rsidRPr="00934607" w:rsidRDefault="00C266DE" w:rsidP="00A66A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1D205202" w:rsidR="005C2254" w:rsidRPr="00934607" w:rsidRDefault="00C266DE" w:rsidP="00D203DC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董事会秘书：戴耀珊</w:t>
            </w:r>
          </w:p>
          <w:p w14:paraId="6960244C" w14:textId="47478C96" w:rsidR="005C2254" w:rsidRPr="00934607" w:rsidRDefault="00C266DE" w:rsidP="00D203DC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投资者关系总监：韦治池</w:t>
            </w:r>
          </w:p>
        </w:tc>
      </w:tr>
      <w:tr w:rsidR="006A6990" w:rsidRPr="00934607" w14:paraId="11F28C0B" w14:textId="77777777" w:rsidTr="00A66A0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21713083" w:rsidR="005C2254" w:rsidRPr="00934607" w:rsidRDefault="00C266DE" w:rsidP="00A66A0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039E34AA" w14:textId="3A12036D" w:rsidR="005C2254" w:rsidRPr="00934607" w:rsidRDefault="00C266DE" w:rsidP="00D203DC">
            <w:pPr>
              <w:pStyle w:val="TableParagraph"/>
              <w:numPr>
                <w:ilvl w:val="0"/>
                <w:numId w:val="1"/>
              </w:numPr>
              <w:spacing w:beforeLines="50" w:before="120"/>
              <w:ind w:left="0" w:firstLine="402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公司</w:t>
            </w:r>
            <w:r w:rsidRPr="00934607">
              <w:rPr>
                <w:rFonts w:ascii="Times New Roman" w:hAnsi="Times New Roman" w:cs="Times New Roman"/>
                <w:color w:val="auto"/>
              </w:rPr>
              <w:t>2024</w:t>
            </w:r>
            <w:r w:rsidRPr="00934607">
              <w:rPr>
                <w:rFonts w:ascii="Times New Roman" w:hAnsi="Times New Roman" w:cs="Times New Roman"/>
                <w:color w:val="auto"/>
              </w:rPr>
              <w:t>年</w:t>
            </w:r>
            <w:r w:rsidR="002354BE" w:rsidRPr="00934607">
              <w:rPr>
                <w:rFonts w:ascii="Times New Roman" w:hAnsi="Times New Roman" w:cs="Times New Roman"/>
                <w:color w:val="auto"/>
              </w:rPr>
              <w:t>前三季度</w:t>
            </w:r>
            <w:r w:rsidRPr="00934607">
              <w:rPr>
                <w:rFonts w:ascii="Times New Roman" w:hAnsi="Times New Roman" w:cs="Times New Roman"/>
                <w:color w:val="auto"/>
              </w:rPr>
              <w:t>经营情况介绍</w:t>
            </w:r>
          </w:p>
          <w:p w14:paraId="04E43045" w14:textId="1B5D420C" w:rsidR="005C2254" w:rsidRPr="00934607" w:rsidRDefault="002354BE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2024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年前三季度，公司持续提升一体化产业链优势，积极响应国家的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“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双碳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”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战略和贯彻落实以旧换新方案，依托全球领先的应用创新能力，为全球客户提供了更具竞争力的新材料整体解决方案，实现了营业收入和市场份额的稳步提升，其中营业收入为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404.65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亿元，同比增长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18.01%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。公司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前三季度归母净利润为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6.83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亿元，同比增长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41.02</w:t>
            </w:r>
            <w:r w:rsidR="00EB082C" w:rsidRPr="00934607">
              <w:rPr>
                <w:rFonts w:ascii="Times New Roman" w:hAnsi="Times New Roman" w:cs="Times New Roman"/>
                <w:b w:val="0"/>
                <w:color w:val="auto"/>
              </w:rPr>
              <w:t>%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；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第三季度归母净利润</w:t>
            </w:r>
            <w:r w:rsidR="00B46B23" w:rsidRPr="00934607">
              <w:rPr>
                <w:rFonts w:ascii="Times New Roman" w:hAnsi="Times New Roman" w:cs="Times New Roman"/>
                <w:b w:val="0"/>
                <w:color w:val="auto"/>
              </w:rPr>
              <w:t>为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3.03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亿元，单季度同比增长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1886.40%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4F711F" w:rsidRPr="00934607">
              <w:rPr>
                <w:rFonts w:ascii="Times New Roman" w:hAnsi="Times New Roman" w:cs="Times New Roman"/>
                <w:b w:val="0"/>
                <w:color w:val="auto"/>
              </w:rPr>
              <w:t>2024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年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前三季度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经营性现金流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14.67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亿元，净现比为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2.15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2024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年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9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月末公司资产负债率为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68.90%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，较年初下降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2.01</w:t>
            </w:r>
            <w:r w:rsidR="00051995" w:rsidRPr="00934607">
              <w:rPr>
                <w:rFonts w:ascii="Times New Roman" w:hAnsi="Times New Roman" w:cs="Times New Roman"/>
                <w:b w:val="0"/>
                <w:color w:val="auto"/>
              </w:rPr>
              <w:t>个百分点。公司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改性塑料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和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特种工程塑料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的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销量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与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利润保持持续增长态势，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绿色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石化各大装置负荷</w:t>
            </w:r>
            <w:r w:rsidR="004F711F" w:rsidRPr="00934607">
              <w:rPr>
                <w:rFonts w:ascii="Times New Roman" w:hAnsi="Times New Roman" w:cs="Times New Roman"/>
                <w:b w:val="0"/>
                <w:color w:val="auto"/>
              </w:rPr>
              <w:t>稳步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提升，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上下游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协同能力进一步</w:t>
            </w:r>
            <w:r w:rsidR="004F711F" w:rsidRPr="00934607">
              <w:rPr>
                <w:rFonts w:ascii="Times New Roman" w:hAnsi="Times New Roman" w:cs="Times New Roman"/>
                <w:b w:val="0"/>
                <w:color w:val="auto"/>
              </w:rPr>
              <w:t>增强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，公司</w:t>
            </w:r>
            <w:r w:rsidR="004F711F" w:rsidRPr="00934607">
              <w:rPr>
                <w:rFonts w:ascii="Times New Roman" w:hAnsi="Times New Roman" w:cs="Times New Roman"/>
                <w:b w:val="0"/>
                <w:color w:val="auto"/>
              </w:rPr>
              <w:t>整体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经营情况持续改善。</w:t>
            </w:r>
          </w:p>
          <w:p w14:paraId="14C5828D" w14:textId="77777777" w:rsidR="005C2254" w:rsidRPr="00934607" w:rsidRDefault="00C266DE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二、投资者提问及公司回复的主要内容</w:t>
            </w:r>
          </w:p>
          <w:p w14:paraId="25CABE53" w14:textId="537DFB6B" w:rsidR="005C2254" w:rsidRPr="00934607" w:rsidRDefault="00C266DE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Pr="00934607">
              <w:rPr>
                <w:rFonts w:ascii="Times New Roman" w:hAnsi="Times New Roman" w:cs="Times New Roman"/>
                <w:color w:val="auto"/>
              </w:rPr>
              <w:t>1</w:t>
            </w:r>
            <w:r w:rsidRPr="00934607">
              <w:rPr>
                <w:rFonts w:ascii="Times New Roman" w:hAnsi="Times New Roman" w:cs="Times New Roman"/>
                <w:color w:val="auto"/>
              </w:rPr>
              <w:t>：</w:t>
            </w:r>
            <w:r w:rsidR="00DD43AB" w:rsidRPr="00934607">
              <w:rPr>
                <w:rFonts w:ascii="Times New Roman" w:hAnsi="Times New Roman" w:cs="Times New Roman"/>
                <w:color w:val="auto"/>
              </w:rPr>
              <w:t>今年前三季度，</w:t>
            </w:r>
            <w:r w:rsidR="00D94748" w:rsidRPr="00934607">
              <w:rPr>
                <w:rFonts w:ascii="Times New Roman" w:hAnsi="Times New Roman" w:cs="Times New Roman"/>
                <w:color w:val="auto"/>
              </w:rPr>
              <w:t>营业收入</w:t>
            </w:r>
            <w:r w:rsidR="00DD43AB" w:rsidRPr="00934607">
              <w:rPr>
                <w:rFonts w:ascii="Times New Roman" w:hAnsi="Times New Roman" w:cs="Times New Roman"/>
                <w:color w:val="auto"/>
              </w:rPr>
              <w:t>和归母净利润相比去年同期有大幅增长，增长主要来源于哪</w:t>
            </w:r>
            <w:r w:rsidR="000D4BCA" w:rsidRPr="00934607">
              <w:rPr>
                <w:rFonts w:ascii="Times New Roman" w:hAnsi="Times New Roman" w:cs="Times New Roman"/>
                <w:color w:val="auto"/>
              </w:rPr>
              <w:t>些</w:t>
            </w:r>
            <w:r w:rsidR="00DD43AB" w:rsidRPr="00934607">
              <w:rPr>
                <w:rFonts w:ascii="Times New Roman" w:hAnsi="Times New Roman" w:cs="Times New Roman"/>
                <w:color w:val="auto"/>
              </w:rPr>
              <w:t>业务</w:t>
            </w:r>
            <w:r w:rsidRPr="00934607">
              <w:rPr>
                <w:rFonts w:ascii="Times New Roman" w:hAnsi="Times New Roman" w:cs="Times New Roman"/>
                <w:color w:val="auto"/>
              </w:rPr>
              <w:t>？</w:t>
            </w:r>
          </w:p>
          <w:p w14:paraId="6DF44460" w14:textId="1D90467C" w:rsidR="005C2254" w:rsidRPr="00934607" w:rsidRDefault="00C266DE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FF0000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答：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在营业收入方面，得益于</w:t>
            </w:r>
            <w:r w:rsidR="00A365AF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改性塑料和新材料</w:t>
            </w:r>
            <w:r w:rsidR="00A365AF" w:rsidRPr="00934607">
              <w:rPr>
                <w:rFonts w:ascii="Times New Roman" w:hAnsi="Times New Roman" w:cs="Times New Roman"/>
                <w:b w:val="0"/>
                <w:color w:val="auto"/>
              </w:rPr>
              <w:t>产品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市场占有率提升，以及</w:t>
            </w:r>
            <w:r w:rsidR="00A365AF" w:rsidRPr="00934607">
              <w:rPr>
                <w:rFonts w:ascii="Times New Roman" w:hAnsi="Times New Roman" w:cs="Times New Roman"/>
                <w:b w:val="0"/>
                <w:color w:val="auto"/>
              </w:rPr>
              <w:t>绿色</w:t>
            </w:r>
            <w:r w:rsidR="00C83F82">
              <w:rPr>
                <w:rFonts w:ascii="Times New Roman" w:hAnsi="Times New Roman" w:cs="Times New Roman"/>
                <w:b w:val="0"/>
                <w:color w:val="auto"/>
              </w:rPr>
              <w:t>石化和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医疗健康产品产能爬坡，各产品产销量同比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均</w:t>
            </w:r>
            <w:r w:rsidR="00A365AF" w:rsidRPr="00934607">
              <w:rPr>
                <w:rFonts w:ascii="Times New Roman" w:hAnsi="Times New Roman" w:cs="Times New Roman"/>
                <w:b w:val="0"/>
                <w:color w:val="auto"/>
              </w:rPr>
              <w:t>实现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增长，</w:t>
            </w:r>
            <w:r w:rsidR="00E76580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E76580" w:rsidRPr="00934607">
              <w:rPr>
                <w:rFonts w:ascii="Times New Roman" w:hAnsi="Times New Roman" w:cs="Times New Roman"/>
                <w:b w:val="0"/>
                <w:color w:val="auto"/>
              </w:rPr>
              <w:t>2024</w:t>
            </w:r>
            <w:r w:rsidR="00E76580" w:rsidRPr="00934607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年前三季度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营业收入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较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去年同期增长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18.01%</w:t>
            </w:r>
            <w:r w:rsidR="00D94748"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其中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改性塑料板块，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虽然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行业整体的增</w:t>
            </w:r>
            <w:r w:rsidR="0041331A" w:rsidRPr="00934607">
              <w:rPr>
                <w:rFonts w:ascii="Times New Roman" w:hAnsi="Times New Roman" w:cs="Times New Roman"/>
                <w:b w:val="0"/>
                <w:color w:val="auto"/>
              </w:rPr>
              <w:t>幅</w:t>
            </w:r>
            <w:r w:rsidR="004803E1" w:rsidRPr="00934607">
              <w:rPr>
                <w:rFonts w:ascii="Times New Roman" w:hAnsi="Times New Roman" w:cs="Times New Roman"/>
                <w:b w:val="0"/>
                <w:color w:val="auto"/>
              </w:rPr>
              <w:t>较缓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，但公司的</w:t>
            </w:r>
            <w:r w:rsidR="004803E1" w:rsidRPr="00934607">
              <w:rPr>
                <w:rFonts w:ascii="Times New Roman" w:hAnsi="Times New Roman" w:cs="Times New Roman"/>
                <w:b w:val="0"/>
                <w:color w:val="auto"/>
              </w:rPr>
              <w:t>市场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份额增长</w:t>
            </w:r>
            <w:r w:rsidR="001B01D8" w:rsidRPr="00934607">
              <w:rPr>
                <w:rFonts w:ascii="Times New Roman" w:hAnsi="Times New Roman" w:cs="Times New Roman"/>
                <w:b w:val="0"/>
                <w:color w:val="auto"/>
              </w:rPr>
              <w:t>较快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，</w:t>
            </w:r>
            <w:r w:rsidR="00B73AB8">
              <w:rPr>
                <w:rFonts w:ascii="Times New Roman" w:hAnsi="Times New Roman" w:cs="Times New Roman" w:hint="eastAsia"/>
                <w:b w:val="0"/>
                <w:color w:val="auto"/>
              </w:rPr>
              <w:t>公司今年前三季度改性塑料销量同比增长</w:t>
            </w:r>
            <w:r w:rsidR="008505B3">
              <w:rPr>
                <w:rFonts w:ascii="Times New Roman" w:hAnsi="Times New Roman" w:cs="Times New Roman" w:hint="eastAsia"/>
                <w:b w:val="0"/>
                <w:color w:val="auto"/>
              </w:rPr>
              <w:t>1</w:t>
            </w:r>
            <w:r w:rsidR="008505B3">
              <w:rPr>
                <w:rFonts w:ascii="Times New Roman" w:hAnsi="Times New Roman" w:cs="Times New Roman"/>
                <w:b w:val="0"/>
                <w:color w:val="auto"/>
              </w:rPr>
              <w:t>9%</w:t>
            </w:r>
            <w:r w:rsidR="00B73AB8">
              <w:rPr>
                <w:rFonts w:ascii="Times New Roman" w:hAnsi="Times New Roman" w:cs="Times New Roman" w:hint="eastAsia"/>
                <w:b w:val="0"/>
                <w:color w:val="auto"/>
              </w:rPr>
              <w:t>，其中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汽车、家电、电子电工等主要</w:t>
            </w:r>
            <w:r w:rsidR="004128BA" w:rsidRPr="00934607">
              <w:rPr>
                <w:rFonts w:ascii="Times New Roman" w:hAnsi="Times New Roman" w:cs="Times New Roman"/>
                <w:b w:val="0"/>
                <w:color w:val="auto"/>
              </w:rPr>
              <w:t>应用领域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的销量增</w:t>
            </w:r>
            <w:r w:rsidR="0041331A" w:rsidRPr="00934607">
              <w:rPr>
                <w:rFonts w:ascii="Times New Roman" w:hAnsi="Times New Roman" w:cs="Times New Roman"/>
                <w:b w:val="0"/>
                <w:color w:val="auto"/>
              </w:rPr>
              <w:t>幅</w:t>
            </w:r>
            <w:r w:rsidR="00B73AB8">
              <w:rPr>
                <w:rFonts w:ascii="Times New Roman" w:hAnsi="Times New Roman" w:cs="Times New Roman" w:hint="eastAsia"/>
                <w:b w:val="0"/>
                <w:color w:val="auto"/>
              </w:rPr>
              <w:t>较快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，改性塑料的</w:t>
            </w:r>
            <w:r w:rsidR="002B0E4C" w:rsidRPr="00934607">
              <w:rPr>
                <w:rFonts w:ascii="Times New Roman" w:hAnsi="Times New Roman" w:cs="Times New Roman"/>
                <w:b w:val="0"/>
                <w:color w:val="auto"/>
              </w:rPr>
              <w:t>行业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集中度还在向头部企业集中。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在净利润方面，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2024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年</w:t>
            </w:r>
            <w:r w:rsidR="00DD43AB" w:rsidRPr="00934607">
              <w:rPr>
                <w:rFonts w:ascii="Times New Roman" w:hAnsi="Times New Roman" w:cs="Times New Roman"/>
                <w:b w:val="0"/>
                <w:color w:val="auto"/>
              </w:rPr>
              <w:t>前三季度，公司实现净利润</w:t>
            </w:r>
            <w:r w:rsidR="00DD43AB" w:rsidRPr="00934607">
              <w:rPr>
                <w:rFonts w:ascii="Times New Roman" w:hAnsi="Times New Roman" w:cs="Times New Roman"/>
                <w:b w:val="0"/>
                <w:color w:val="auto"/>
              </w:rPr>
              <w:t>6.83</w:t>
            </w:r>
            <w:r w:rsidR="00DD43AB" w:rsidRPr="00934607">
              <w:rPr>
                <w:rFonts w:ascii="Times New Roman" w:hAnsi="Times New Roman" w:cs="Times New Roman"/>
                <w:b w:val="0"/>
                <w:color w:val="auto"/>
              </w:rPr>
              <w:t>亿元，</w:t>
            </w:r>
            <w:r w:rsidR="001B01D8" w:rsidRPr="00934607">
              <w:rPr>
                <w:rFonts w:ascii="Times New Roman" w:hAnsi="Times New Roman" w:cs="Times New Roman"/>
                <w:b w:val="0"/>
                <w:color w:val="auto"/>
              </w:rPr>
              <w:t>较</w:t>
            </w:r>
            <w:r w:rsidR="00DD43AB" w:rsidRPr="00934607">
              <w:rPr>
                <w:rFonts w:ascii="Times New Roman" w:hAnsi="Times New Roman" w:cs="Times New Roman"/>
                <w:b w:val="0"/>
                <w:color w:val="auto"/>
              </w:rPr>
              <w:t>去年同期增长</w:t>
            </w:r>
            <w:r w:rsidR="00DD43AB" w:rsidRPr="00934607">
              <w:rPr>
                <w:rFonts w:ascii="Times New Roman" w:hAnsi="Times New Roman" w:cs="Times New Roman"/>
                <w:b w:val="0"/>
                <w:color w:val="auto"/>
              </w:rPr>
              <w:t>41.02%</w:t>
            </w:r>
            <w:r w:rsidR="00DD43AB" w:rsidRPr="00934607">
              <w:rPr>
                <w:rFonts w:ascii="Times New Roman" w:hAnsi="Times New Roman" w:cs="Times New Roman"/>
                <w:b w:val="0"/>
                <w:color w:val="auto"/>
              </w:rPr>
              <w:t>，</w:t>
            </w:r>
            <w:r w:rsidR="00252C6A" w:rsidRPr="00934607">
              <w:rPr>
                <w:rFonts w:ascii="Times New Roman" w:hAnsi="Times New Roman" w:cs="Times New Roman"/>
                <w:b w:val="0"/>
                <w:color w:val="auto"/>
              </w:rPr>
              <w:t>其中改性塑料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业务</w:t>
            </w:r>
            <w:r w:rsidR="001B01D8" w:rsidRPr="00934607">
              <w:rPr>
                <w:rFonts w:ascii="Times New Roman" w:hAnsi="Times New Roman" w:cs="Times New Roman"/>
                <w:b w:val="0"/>
                <w:color w:val="auto"/>
              </w:rPr>
              <w:t>对公司整体利润增长的贡献占比最高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；</w:t>
            </w:r>
            <w:r w:rsidR="0096272E" w:rsidRPr="00934607">
              <w:rPr>
                <w:rFonts w:ascii="Times New Roman" w:hAnsi="Times New Roman" w:cs="Times New Roman"/>
                <w:b w:val="0"/>
                <w:color w:val="auto"/>
              </w:rPr>
              <w:t>公司绿色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石化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板块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经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技改技措后，装置运行效率提升</w:t>
            </w:r>
            <w:r w:rsidR="0096272E" w:rsidRPr="00934607">
              <w:rPr>
                <w:rFonts w:ascii="Times New Roman" w:hAnsi="Times New Roman" w:cs="Times New Roman"/>
                <w:b w:val="0"/>
                <w:color w:val="auto"/>
              </w:rPr>
              <w:t>，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同时公司凭借材料应用优势，开发了各类专用料，</w:t>
            </w:r>
            <w:r w:rsidR="0096272E" w:rsidRPr="00934607">
              <w:rPr>
                <w:rFonts w:ascii="Times New Roman" w:hAnsi="Times New Roman" w:cs="Times New Roman"/>
                <w:b w:val="0"/>
                <w:color w:val="auto"/>
              </w:rPr>
              <w:t>该板块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产品盈利有所改善，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亏损进一步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收窄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  <w:r w:rsidR="002526EE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改性塑料</w:t>
            </w:r>
            <w:r w:rsidR="006A7A2A" w:rsidRPr="00934607">
              <w:rPr>
                <w:rFonts w:ascii="Times New Roman" w:hAnsi="Times New Roman" w:cs="Times New Roman"/>
                <w:b w:val="0"/>
                <w:color w:val="auto"/>
              </w:rPr>
              <w:t>业务</w:t>
            </w:r>
            <w:r w:rsidR="0036352C" w:rsidRPr="00934607">
              <w:rPr>
                <w:rFonts w:ascii="Times New Roman" w:hAnsi="Times New Roman" w:cs="Times New Roman"/>
                <w:b w:val="0"/>
                <w:color w:val="auto"/>
              </w:rPr>
              <w:t>的持续</w:t>
            </w:r>
            <w:r w:rsidR="00E741E6" w:rsidRPr="00934607">
              <w:rPr>
                <w:rFonts w:ascii="Times New Roman" w:hAnsi="Times New Roman" w:cs="Times New Roman"/>
                <w:b w:val="0"/>
                <w:color w:val="auto"/>
              </w:rPr>
              <w:t>增长</w:t>
            </w:r>
            <w:r w:rsidR="00C71C22" w:rsidRPr="00934607">
              <w:rPr>
                <w:rFonts w:ascii="Times New Roman" w:hAnsi="Times New Roman" w:cs="Times New Roman"/>
                <w:b w:val="0"/>
                <w:color w:val="auto"/>
              </w:rPr>
              <w:t>和绿色石化业务的</w:t>
            </w:r>
            <w:r w:rsidR="002526EE" w:rsidRPr="00934607">
              <w:rPr>
                <w:rFonts w:ascii="Times New Roman" w:hAnsi="Times New Roman" w:cs="Times New Roman"/>
                <w:b w:val="0"/>
                <w:color w:val="auto"/>
              </w:rPr>
              <w:t>优化</w:t>
            </w:r>
            <w:r w:rsidR="009A1511" w:rsidRPr="00934607">
              <w:rPr>
                <w:rFonts w:ascii="Times New Roman" w:hAnsi="Times New Roman" w:cs="Times New Roman"/>
                <w:b w:val="0"/>
                <w:color w:val="auto"/>
              </w:rPr>
              <w:t>共同改善了公司的盈利状况。</w:t>
            </w:r>
          </w:p>
          <w:p w14:paraId="4EF008FD" w14:textId="77777777" w:rsidR="005C2254" w:rsidRPr="00934607" w:rsidRDefault="005C2254">
            <w:pPr>
              <w:pStyle w:val="TableParagraph"/>
              <w:rPr>
                <w:rFonts w:ascii="Times New Roman" w:hAnsi="Times New Roman" w:cs="Times New Roman"/>
                <w:color w:val="FF0000"/>
              </w:rPr>
            </w:pPr>
          </w:p>
          <w:p w14:paraId="6995C453" w14:textId="27CB3CEE" w:rsidR="005C2254" w:rsidRPr="00934607" w:rsidRDefault="00C266DE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Pr="00934607">
              <w:rPr>
                <w:rFonts w:ascii="Times New Roman" w:hAnsi="Times New Roman" w:cs="Times New Roman"/>
                <w:color w:val="auto"/>
              </w:rPr>
              <w:t>2</w:t>
            </w:r>
            <w:r w:rsidRPr="00934607">
              <w:rPr>
                <w:rFonts w:ascii="Times New Roman" w:hAnsi="Times New Roman" w:cs="Times New Roman"/>
                <w:color w:val="auto"/>
              </w:rPr>
              <w:t>：</w:t>
            </w:r>
            <w:r w:rsidR="00B72164" w:rsidRPr="00934607">
              <w:rPr>
                <w:rFonts w:ascii="Times New Roman" w:hAnsi="Times New Roman" w:cs="Times New Roman"/>
                <w:color w:val="auto"/>
              </w:rPr>
              <w:t>第三季度</w:t>
            </w:r>
            <w:r w:rsidR="00DD43AB" w:rsidRPr="00934607">
              <w:rPr>
                <w:rFonts w:ascii="Times New Roman" w:hAnsi="Times New Roman" w:cs="Times New Roman"/>
                <w:color w:val="auto"/>
              </w:rPr>
              <w:t>公司石化</w:t>
            </w:r>
            <w:r w:rsidR="009A1511" w:rsidRPr="00934607">
              <w:rPr>
                <w:rFonts w:ascii="Times New Roman" w:hAnsi="Times New Roman" w:cs="Times New Roman"/>
                <w:color w:val="auto"/>
              </w:rPr>
              <w:t>板块装置的</w:t>
            </w:r>
            <w:r w:rsidR="00DD43AB" w:rsidRPr="00934607">
              <w:rPr>
                <w:rFonts w:ascii="Times New Roman" w:hAnsi="Times New Roman" w:cs="Times New Roman"/>
                <w:color w:val="auto"/>
              </w:rPr>
              <w:t>开工</w:t>
            </w:r>
            <w:r w:rsidR="009A1511" w:rsidRPr="00934607">
              <w:rPr>
                <w:rFonts w:ascii="Times New Roman" w:hAnsi="Times New Roman" w:cs="Times New Roman"/>
                <w:color w:val="auto"/>
              </w:rPr>
              <w:t>情况</w:t>
            </w:r>
            <w:r w:rsidR="00DD43AB" w:rsidRPr="00934607">
              <w:rPr>
                <w:rFonts w:ascii="Times New Roman" w:hAnsi="Times New Roman" w:cs="Times New Roman"/>
                <w:color w:val="auto"/>
              </w:rPr>
              <w:t>如何</w:t>
            </w:r>
            <w:r w:rsidRPr="00934607">
              <w:rPr>
                <w:rFonts w:ascii="Times New Roman" w:hAnsi="Times New Roman" w:cs="Times New Roman"/>
                <w:color w:val="auto"/>
              </w:rPr>
              <w:t>？</w:t>
            </w:r>
          </w:p>
          <w:p w14:paraId="31998C01" w14:textId="023FBC1B" w:rsidR="005C2254" w:rsidRPr="00934607" w:rsidRDefault="00C266DE" w:rsidP="00DD43AB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答：</w:t>
            </w:r>
            <w:r w:rsidR="00354C87" w:rsidRPr="00934607">
              <w:rPr>
                <w:rFonts w:ascii="Times New Roman" w:hAnsi="Times New Roman" w:cs="Times New Roman"/>
                <w:b w:val="0"/>
                <w:color w:val="auto"/>
              </w:rPr>
              <w:t>今年第三季度，公司子公司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宁波金发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80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万吨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PP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一体化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装置和辽宁金发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60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万吨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ABS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联合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装置</w:t>
            </w:r>
            <w:r w:rsidR="00354C87" w:rsidRPr="00934607">
              <w:rPr>
                <w:rFonts w:ascii="Times New Roman" w:hAnsi="Times New Roman" w:cs="Times New Roman"/>
                <w:b w:val="0"/>
                <w:color w:val="auto"/>
              </w:rPr>
              <w:t>的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负荷</w:t>
            </w:r>
            <w:r w:rsidR="00354C87" w:rsidRPr="00934607">
              <w:rPr>
                <w:rFonts w:ascii="Times New Roman" w:hAnsi="Times New Roman" w:cs="Times New Roman"/>
                <w:b w:val="0"/>
                <w:color w:val="auto"/>
              </w:rPr>
              <w:t>情况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整体较</w:t>
            </w:r>
            <w:r w:rsidR="00354C87" w:rsidRPr="00934607">
              <w:rPr>
                <w:rFonts w:ascii="Times New Roman" w:hAnsi="Times New Roman" w:cs="Times New Roman"/>
                <w:b w:val="0"/>
                <w:color w:val="auto"/>
              </w:rPr>
              <w:t>第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二季度有所提升。</w:t>
            </w:r>
            <w:r w:rsidR="00354C87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7556E1" w:rsidRPr="00934607">
              <w:rPr>
                <w:rFonts w:ascii="Times New Roman" w:hAnsi="Times New Roman" w:cs="Times New Roman"/>
                <w:b w:val="0"/>
                <w:color w:val="auto"/>
              </w:rPr>
              <w:t>第三季度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绿色石化产品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销量同比增长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16.19%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，环比增长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39.9</w:t>
            </w:r>
            <w:r w:rsidR="007556E1" w:rsidRPr="00934607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%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得益于</w:t>
            </w:r>
            <w:r w:rsidR="00D209C3" w:rsidRPr="00934607">
              <w:rPr>
                <w:rFonts w:ascii="Times New Roman" w:hAnsi="Times New Roman" w:cs="Times New Roman"/>
                <w:b w:val="0"/>
                <w:color w:val="auto"/>
              </w:rPr>
              <w:t>今年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上半年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的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技改，</w:t>
            </w:r>
            <w:r w:rsidR="00D209C3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石化装置运行更加平稳，在能耗和物耗上均有较为明显降低，对减亏有积极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作用。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后续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将进一步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加大研发投入，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建设研发中试平台，</w:t>
            </w:r>
            <w:r w:rsidR="00CA072D" w:rsidRPr="00934607">
              <w:rPr>
                <w:rFonts w:ascii="Times New Roman" w:hAnsi="Times New Roman" w:cs="Times New Roman"/>
                <w:b w:val="0"/>
                <w:color w:val="auto"/>
              </w:rPr>
              <w:t>开发新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牌号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产品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，提升专用料比例，加强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与下游改性塑料的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一体化协同，确保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绿色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石化各装置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“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安稳长满优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”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运行，</w:t>
            </w:r>
            <w:r w:rsidR="00E24874" w:rsidRPr="00934607">
              <w:rPr>
                <w:rFonts w:ascii="Times New Roman" w:hAnsi="Times New Roman" w:cs="Times New Roman"/>
                <w:b w:val="0"/>
                <w:color w:val="auto"/>
              </w:rPr>
              <w:t>努力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实现石化板块</w:t>
            </w:r>
            <w:r w:rsidR="002B4010" w:rsidRPr="00934607">
              <w:rPr>
                <w:rFonts w:ascii="Times New Roman" w:hAnsi="Times New Roman" w:cs="Times New Roman"/>
                <w:b w:val="0"/>
                <w:color w:val="auto"/>
              </w:rPr>
              <w:t>减亏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扭亏</w:t>
            </w:r>
            <w:r w:rsidR="00435481" w:rsidRPr="00934607">
              <w:rPr>
                <w:rFonts w:ascii="Times New Roman" w:hAnsi="Times New Roman" w:cs="Times New Roman"/>
                <w:b w:val="0"/>
                <w:color w:val="auto"/>
              </w:rPr>
              <w:t>目标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</w:p>
          <w:p w14:paraId="4ADC35DD" w14:textId="77777777" w:rsidR="005C2254" w:rsidRPr="00934607" w:rsidRDefault="005C2254" w:rsidP="001E4707">
            <w:pPr>
              <w:pStyle w:val="TableParagraph"/>
              <w:ind w:firstLineChars="0" w:firstLine="0"/>
              <w:rPr>
                <w:rFonts w:ascii="Times New Roman" w:hAnsi="Times New Roman" w:cs="Times New Roman"/>
                <w:color w:val="FF0000"/>
              </w:rPr>
            </w:pPr>
          </w:p>
          <w:p w14:paraId="7D0B2D6F" w14:textId="77BAECEC" w:rsidR="005C2254" w:rsidRPr="001E4707" w:rsidRDefault="00C266DE">
            <w:pPr>
              <w:pStyle w:val="TableParagrap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="00515AC2">
              <w:rPr>
                <w:rFonts w:ascii="Times New Roman" w:hAnsi="Times New Roman" w:cs="Times New Roman"/>
                <w:color w:val="auto"/>
              </w:rPr>
              <w:t>3</w:t>
            </w:r>
            <w:r w:rsidRPr="00934607">
              <w:rPr>
                <w:rFonts w:ascii="Times New Roman" w:hAnsi="Times New Roman" w:cs="Times New Roman"/>
                <w:color w:val="auto"/>
              </w:rPr>
              <w:t>：</w:t>
            </w:r>
            <w:r w:rsidR="00F21ED4" w:rsidRPr="00934607">
              <w:rPr>
                <w:rFonts w:ascii="Times New Roman" w:hAnsi="Times New Roman" w:cs="Times New Roman"/>
                <w:color w:val="auto"/>
              </w:rPr>
              <w:t>公司布局生物基的原因是什么？生物基相关的投资规模预计会有多大？</w:t>
            </w:r>
          </w:p>
          <w:p w14:paraId="30DAE679" w14:textId="57693B0C" w:rsidR="005C2254" w:rsidRPr="00934607" w:rsidRDefault="00C266DE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1E4707">
              <w:rPr>
                <w:rFonts w:asciiTheme="minorEastAsia" w:eastAsiaTheme="minorEastAsia" w:hAnsiTheme="minorEastAsia" w:cs="Times New Roman" w:hint="eastAsia"/>
                <w:b w:val="0"/>
                <w:color w:val="auto"/>
              </w:rPr>
              <w:t>答：</w:t>
            </w:r>
            <w:r w:rsidR="00F21ED4" w:rsidRPr="001E4707">
              <w:rPr>
                <w:rFonts w:asciiTheme="minorEastAsia" w:eastAsiaTheme="minorEastAsia" w:hAnsiTheme="minorEastAsia" w:cs="Times New Roman" w:hint="eastAsia"/>
                <w:b w:val="0"/>
                <w:color w:val="auto"/>
              </w:rPr>
              <w:t>在</w:t>
            </w:r>
            <w:r w:rsidR="00F21ED4" w:rsidRPr="001E4707">
              <w:rPr>
                <w:rFonts w:asciiTheme="minorEastAsia" w:eastAsiaTheme="minorEastAsia" w:hAnsiTheme="minorEastAsia" w:cs="Times New Roman"/>
                <w:b w:val="0"/>
                <w:color w:val="auto"/>
              </w:rPr>
              <w:t>“</w:t>
            </w:r>
            <w:r w:rsidR="00F21ED4" w:rsidRPr="001E4707">
              <w:rPr>
                <w:rFonts w:asciiTheme="minorEastAsia" w:eastAsiaTheme="minorEastAsia" w:hAnsiTheme="minorEastAsia" w:cs="Times New Roman" w:hint="eastAsia"/>
                <w:b w:val="0"/>
                <w:color w:val="auto"/>
              </w:rPr>
              <w:t>节能降碳</w:t>
            </w:r>
            <w:r w:rsidR="00F21ED4" w:rsidRPr="001E4707">
              <w:rPr>
                <w:rFonts w:asciiTheme="minorEastAsia" w:eastAsiaTheme="minorEastAsia" w:hAnsiTheme="minorEastAsia" w:cs="Times New Roman"/>
                <w:b w:val="0"/>
                <w:color w:val="auto"/>
              </w:rPr>
              <w:t>”</w:t>
            </w:r>
            <w:r w:rsidR="00F21ED4" w:rsidRPr="001E4707">
              <w:rPr>
                <w:rFonts w:asciiTheme="minorEastAsia" w:eastAsiaTheme="minorEastAsia" w:hAnsiTheme="minorEastAsia" w:cs="Times New Roman" w:hint="eastAsia"/>
                <w:b w:val="0"/>
                <w:color w:val="auto"/>
              </w:rPr>
              <w:t>大</w:t>
            </w:r>
            <w:r w:rsidR="00F21ED4" w:rsidRPr="00934607">
              <w:rPr>
                <w:rFonts w:ascii="Times New Roman" w:hAnsi="Times New Roman" w:cs="Times New Roman"/>
                <w:b w:val="0"/>
                <w:color w:val="auto"/>
              </w:rPr>
              <w:t>环境下，生物基材料对石油基材料的替代是未来发展的大趋势，同时，欧洲对</w:t>
            </w:r>
            <w:r w:rsidR="00F21ED4" w:rsidRPr="00934607">
              <w:rPr>
                <w:rFonts w:ascii="Times New Roman" w:hAnsi="Times New Roman" w:cs="Times New Roman"/>
                <w:b w:val="0"/>
                <w:color w:val="auto"/>
              </w:rPr>
              <w:t>“</w:t>
            </w:r>
            <w:r w:rsidR="00F21ED4" w:rsidRPr="00934607">
              <w:rPr>
                <w:rFonts w:ascii="Times New Roman" w:hAnsi="Times New Roman" w:cs="Times New Roman"/>
                <w:b w:val="0"/>
                <w:color w:val="auto"/>
              </w:rPr>
              <w:t>生物基且可降解材料</w:t>
            </w:r>
            <w:r w:rsidR="00F21ED4" w:rsidRPr="00934607">
              <w:rPr>
                <w:rFonts w:ascii="Times New Roman" w:hAnsi="Times New Roman" w:cs="Times New Roman"/>
                <w:b w:val="0"/>
                <w:color w:val="auto"/>
              </w:rPr>
              <w:t>”</w:t>
            </w:r>
            <w:r w:rsidR="00F21ED4" w:rsidRPr="00934607">
              <w:rPr>
                <w:rFonts w:ascii="Times New Roman" w:hAnsi="Times New Roman" w:cs="Times New Roman"/>
                <w:b w:val="0"/>
                <w:color w:val="auto"/>
              </w:rPr>
              <w:t>提出需求，公司以此为契机，切入了生物基材料赛道。从资本开支的角度来看，</w:t>
            </w:r>
            <w:r w:rsidR="00DF3FB0" w:rsidRPr="00934607">
              <w:rPr>
                <w:rFonts w:ascii="Times New Roman" w:hAnsi="Times New Roman" w:cs="Times New Roman"/>
                <w:b w:val="0"/>
                <w:color w:val="auto"/>
              </w:rPr>
              <w:t>相较于公司前期的绿色石化板块的投资规模，</w:t>
            </w:r>
            <w:r w:rsidR="00561A27" w:rsidRPr="00934607">
              <w:rPr>
                <w:rFonts w:ascii="Times New Roman" w:hAnsi="Times New Roman" w:cs="Times New Roman"/>
                <w:b w:val="0"/>
                <w:color w:val="auto"/>
              </w:rPr>
              <w:t>生物基</w:t>
            </w:r>
            <w:r w:rsidR="00DF3FB0" w:rsidRPr="00934607">
              <w:rPr>
                <w:rFonts w:ascii="Times New Roman" w:hAnsi="Times New Roman" w:cs="Times New Roman"/>
                <w:b w:val="0"/>
                <w:color w:val="auto"/>
              </w:rPr>
              <w:t>领域</w:t>
            </w:r>
            <w:r w:rsidR="00561A27" w:rsidRPr="00934607">
              <w:rPr>
                <w:rFonts w:ascii="Times New Roman" w:hAnsi="Times New Roman" w:cs="Times New Roman"/>
                <w:b w:val="0"/>
                <w:color w:val="auto"/>
              </w:rPr>
              <w:t>的投资规模</w:t>
            </w:r>
            <w:r w:rsidR="00DF3FB0" w:rsidRPr="00934607">
              <w:rPr>
                <w:rFonts w:ascii="Times New Roman" w:hAnsi="Times New Roman" w:cs="Times New Roman"/>
                <w:b w:val="0"/>
                <w:color w:val="auto"/>
              </w:rPr>
              <w:t>相对较低</w:t>
            </w:r>
            <w:r w:rsidR="00561A27" w:rsidRPr="00934607">
              <w:rPr>
                <w:rFonts w:ascii="Times New Roman" w:hAnsi="Times New Roman" w:cs="Times New Roman"/>
                <w:b w:val="0"/>
                <w:color w:val="auto"/>
              </w:rPr>
              <w:t>，</w:t>
            </w:r>
            <w:r w:rsidR="00F21ED4" w:rsidRPr="00934607">
              <w:rPr>
                <w:rFonts w:ascii="Times New Roman" w:hAnsi="Times New Roman" w:cs="Times New Roman"/>
                <w:b w:val="0"/>
                <w:color w:val="auto"/>
              </w:rPr>
              <w:t>公司在生物基领域的投资会更加平稳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</w:p>
          <w:p w14:paraId="5CB8806E" w14:textId="77777777" w:rsidR="005C2254" w:rsidRPr="00934607" w:rsidRDefault="005C2254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</w:p>
          <w:p w14:paraId="2D23F2B9" w14:textId="7B0B1246" w:rsidR="005C2254" w:rsidRPr="00934607" w:rsidRDefault="00C266DE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="0060003C">
              <w:rPr>
                <w:rFonts w:ascii="Times New Roman" w:hAnsi="Times New Roman" w:cs="Times New Roman"/>
                <w:color w:val="auto"/>
              </w:rPr>
              <w:t>4</w:t>
            </w:r>
            <w:r w:rsidRPr="00934607">
              <w:rPr>
                <w:rFonts w:ascii="Times New Roman" w:hAnsi="Times New Roman" w:cs="Times New Roman"/>
                <w:color w:val="auto"/>
              </w:rPr>
              <w:t>：</w:t>
            </w:r>
            <w:r w:rsidR="00462E7F" w:rsidRPr="00934607">
              <w:rPr>
                <w:rFonts w:ascii="Times New Roman" w:hAnsi="Times New Roman" w:cs="Times New Roman"/>
                <w:color w:val="auto"/>
              </w:rPr>
              <w:t>公司新的</w:t>
            </w:r>
            <w:r w:rsidR="00462E7F" w:rsidRPr="00934607">
              <w:rPr>
                <w:rFonts w:ascii="Times New Roman" w:hAnsi="Times New Roman" w:cs="Times New Roman"/>
                <w:color w:val="auto"/>
              </w:rPr>
              <w:t>6000</w:t>
            </w:r>
            <w:r w:rsidR="00462E7F" w:rsidRPr="00934607">
              <w:rPr>
                <w:rFonts w:ascii="Times New Roman" w:hAnsi="Times New Roman" w:cs="Times New Roman"/>
                <w:color w:val="auto"/>
              </w:rPr>
              <w:t>吨</w:t>
            </w:r>
            <w:r w:rsidR="00462E7F" w:rsidRPr="00934607">
              <w:rPr>
                <w:rFonts w:ascii="Times New Roman" w:hAnsi="Times New Roman" w:cs="Times New Roman"/>
                <w:color w:val="auto"/>
              </w:rPr>
              <w:t>PPSU</w:t>
            </w:r>
            <w:r w:rsidR="00462E7F" w:rsidRPr="00934607">
              <w:rPr>
                <w:rFonts w:ascii="Times New Roman" w:hAnsi="Times New Roman" w:cs="Times New Roman"/>
                <w:color w:val="auto"/>
              </w:rPr>
              <w:t>项目投产</w:t>
            </w:r>
            <w:r w:rsidR="000D4E20" w:rsidRPr="00934607">
              <w:rPr>
                <w:rFonts w:ascii="Times New Roman" w:hAnsi="Times New Roman" w:cs="Times New Roman"/>
                <w:color w:val="auto"/>
              </w:rPr>
              <w:t>及经营</w:t>
            </w:r>
            <w:r w:rsidR="00462E7F" w:rsidRPr="00934607">
              <w:rPr>
                <w:rFonts w:ascii="Times New Roman" w:hAnsi="Times New Roman" w:cs="Times New Roman"/>
                <w:color w:val="auto"/>
              </w:rPr>
              <w:t>情况如何</w:t>
            </w:r>
            <w:r w:rsidRPr="00934607">
              <w:rPr>
                <w:rFonts w:ascii="Times New Roman" w:hAnsi="Times New Roman" w:cs="Times New Roman"/>
                <w:color w:val="auto"/>
              </w:rPr>
              <w:t>？</w:t>
            </w:r>
          </w:p>
          <w:p w14:paraId="57237939" w14:textId="063ABDE6" w:rsidR="005C2254" w:rsidRPr="00934607" w:rsidRDefault="00C266DE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答：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公司新建的年产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6000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吨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PPSU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装置</w:t>
            </w:r>
            <w:r w:rsidR="00F01E3E" w:rsidRPr="00934607">
              <w:rPr>
                <w:rFonts w:ascii="Times New Roman" w:hAnsi="Times New Roman" w:cs="Times New Roman"/>
                <w:b w:val="0"/>
                <w:color w:val="auto"/>
              </w:rPr>
              <w:t>已于今年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月份</w:t>
            </w:r>
            <w:r w:rsidR="00F01E3E" w:rsidRPr="00934607">
              <w:rPr>
                <w:rFonts w:ascii="Times New Roman" w:hAnsi="Times New Roman" w:cs="Times New Roman"/>
                <w:b w:val="0"/>
                <w:color w:val="auto"/>
              </w:rPr>
              <w:t>顺利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开车，目前装置运行平稳，产能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在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爬坡中。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依托在材料应用上的优势，持续拓展了下游的应用开发，在家电、汽车和医疗等行业获得拓展应用，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PPSU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产品销量较去年同期有所增长。</w:t>
            </w:r>
          </w:p>
          <w:p w14:paraId="06EE6DA1" w14:textId="77777777" w:rsidR="005C2254" w:rsidRPr="00934607" w:rsidRDefault="005C2254">
            <w:pPr>
              <w:pStyle w:val="TableParagraph"/>
              <w:rPr>
                <w:rFonts w:ascii="Times New Roman" w:hAnsi="Times New Roman" w:cs="Times New Roman"/>
                <w:color w:val="FF0000"/>
              </w:rPr>
            </w:pPr>
          </w:p>
          <w:p w14:paraId="03F07EE0" w14:textId="72C8FC3D" w:rsidR="005C2254" w:rsidRPr="00934607" w:rsidRDefault="00C266DE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="0060003C">
              <w:rPr>
                <w:rFonts w:ascii="Times New Roman" w:hAnsi="Times New Roman" w:cs="Times New Roman"/>
                <w:color w:val="auto"/>
              </w:rPr>
              <w:t>5</w:t>
            </w:r>
            <w:r w:rsidRPr="00934607">
              <w:rPr>
                <w:rFonts w:ascii="Times New Roman" w:hAnsi="Times New Roman" w:cs="Times New Roman"/>
                <w:color w:val="auto"/>
              </w:rPr>
              <w:t>：医疗健康</w:t>
            </w:r>
            <w:r w:rsidR="00A52840" w:rsidRPr="00934607">
              <w:rPr>
                <w:rFonts w:ascii="Times New Roman" w:hAnsi="Times New Roman" w:cs="Times New Roman"/>
                <w:color w:val="auto"/>
              </w:rPr>
              <w:t>板块运行情况及展望</w:t>
            </w:r>
            <w:r w:rsidRPr="00934607">
              <w:rPr>
                <w:rFonts w:ascii="Times New Roman" w:hAnsi="Times New Roman" w:cs="Times New Roman"/>
                <w:color w:val="auto"/>
              </w:rPr>
              <w:t>？</w:t>
            </w:r>
          </w:p>
          <w:p w14:paraId="3C40127E" w14:textId="2381B742" w:rsidR="005C2254" w:rsidRPr="00934607" w:rsidRDefault="00C266DE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答：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今年以来公司持续</w:t>
            </w:r>
            <w:r w:rsidR="000D4BCA" w:rsidRPr="00934607">
              <w:rPr>
                <w:rFonts w:ascii="Times New Roman" w:hAnsi="Times New Roman" w:cs="Times New Roman"/>
                <w:b w:val="0"/>
                <w:color w:val="auto"/>
              </w:rPr>
              <w:t>加大</w:t>
            </w:r>
            <w:r w:rsidR="00282F34" w:rsidRPr="00934607">
              <w:rPr>
                <w:rFonts w:ascii="Times New Roman" w:hAnsi="Times New Roman" w:cs="Times New Roman"/>
                <w:b w:val="0"/>
                <w:color w:val="auto"/>
              </w:rPr>
              <w:t>海外市场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的拓展</w:t>
            </w:r>
            <w:r w:rsidR="00282F34" w:rsidRPr="00934607">
              <w:rPr>
                <w:rFonts w:ascii="Times New Roman" w:hAnsi="Times New Roman" w:cs="Times New Roman"/>
                <w:b w:val="0"/>
                <w:color w:val="auto"/>
              </w:rPr>
              <w:t>，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丁腈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手套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产</w:t>
            </w:r>
            <w:r w:rsidR="000D4E20" w:rsidRPr="00934607">
              <w:rPr>
                <w:rFonts w:ascii="Times New Roman" w:hAnsi="Times New Roman" w:cs="Times New Roman"/>
                <w:b w:val="0"/>
                <w:color w:val="auto"/>
              </w:rPr>
              <w:t>销量同比快速增长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。后续公司将继续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拓展应用市场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，提升现有装置产能利用率，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盘活资产，增加现金流。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同时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推动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NC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膜和闪蒸布等国内</w:t>
            </w:r>
            <w:r w:rsidR="001226A8" w:rsidRPr="001E4707">
              <w:rPr>
                <w:rFonts w:asciiTheme="minorEastAsia" w:eastAsiaTheme="minorEastAsia" w:hAnsiTheme="minorEastAsia" w:cs="Times New Roman"/>
                <w:b w:val="0"/>
                <w:color w:val="auto"/>
              </w:rPr>
              <w:t>“</w:t>
            </w:r>
            <w:r w:rsidR="0060003C">
              <w:rPr>
                <w:rFonts w:asciiTheme="minorEastAsia" w:eastAsiaTheme="minorEastAsia" w:hAnsiTheme="minorEastAsia" w:cs="Times New Roman" w:hint="eastAsia"/>
                <w:b w:val="0"/>
                <w:color w:val="auto"/>
              </w:rPr>
              <w:t>关键</w:t>
            </w:r>
            <w:r w:rsidR="001226A8" w:rsidRPr="001E4707">
              <w:rPr>
                <w:rFonts w:asciiTheme="minorEastAsia" w:eastAsiaTheme="minorEastAsia" w:hAnsiTheme="minorEastAsia" w:cs="Times New Roman"/>
                <w:b w:val="0"/>
                <w:color w:val="auto"/>
              </w:rPr>
              <w:t>”</w:t>
            </w:r>
            <w:r w:rsidR="001226A8" w:rsidRPr="001E4707">
              <w:rPr>
                <w:rFonts w:asciiTheme="minorEastAsia" w:eastAsiaTheme="minorEastAsia" w:hAnsiTheme="minorEastAsia" w:cs="Times New Roman" w:hint="eastAsia"/>
                <w:b w:val="0"/>
                <w:color w:val="auto"/>
              </w:rPr>
              <w:t>技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术产品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的</w:t>
            </w:r>
            <w:r w:rsidR="001226A8" w:rsidRPr="00934607">
              <w:rPr>
                <w:rFonts w:ascii="Times New Roman" w:hAnsi="Times New Roman" w:cs="Times New Roman"/>
                <w:b w:val="0"/>
                <w:color w:val="auto"/>
              </w:rPr>
              <w:t>量产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，提升</w:t>
            </w:r>
            <w:r w:rsidR="00DE3368">
              <w:rPr>
                <w:rFonts w:ascii="Times New Roman" w:hAnsi="Times New Roman" w:cs="Times New Roman" w:hint="eastAsia"/>
                <w:b w:val="0"/>
                <w:color w:val="auto"/>
              </w:rPr>
              <w:t>医疗健康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产品</w:t>
            </w:r>
            <w:r w:rsidR="00DE3368">
              <w:rPr>
                <w:rFonts w:ascii="Times New Roman" w:hAnsi="Times New Roman" w:cs="Times New Roman" w:hint="eastAsia"/>
                <w:b w:val="0"/>
                <w:color w:val="auto"/>
              </w:rPr>
              <w:t>的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盈利能力</w:t>
            </w:r>
            <w:r w:rsidR="00282F34"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</w:p>
          <w:p w14:paraId="3CA0313B" w14:textId="77777777" w:rsidR="002070EF" w:rsidRPr="00934607" w:rsidRDefault="002070EF" w:rsidP="002070EF">
            <w:pPr>
              <w:pStyle w:val="TableParagraph"/>
              <w:rPr>
                <w:rFonts w:ascii="Times New Roman" w:hAnsi="Times New Roman" w:cs="Times New Roman"/>
                <w:color w:val="FF0000"/>
              </w:rPr>
            </w:pPr>
          </w:p>
          <w:p w14:paraId="688D8709" w14:textId="426025A2" w:rsidR="002070EF" w:rsidRPr="00934607" w:rsidRDefault="002070EF" w:rsidP="002070EF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="0060003C">
              <w:rPr>
                <w:rFonts w:ascii="Times New Roman" w:hAnsi="Times New Roman" w:cs="Times New Roman"/>
                <w:color w:val="auto"/>
              </w:rPr>
              <w:t>6</w:t>
            </w:r>
            <w:r w:rsidRPr="00934607">
              <w:rPr>
                <w:rFonts w:ascii="Times New Roman" w:hAnsi="Times New Roman" w:cs="Times New Roman"/>
                <w:color w:val="auto"/>
              </w:rPr>
              <w:t>：管理层换届后推行的</w:t>
            </w:r>
            <w:r w:rsidRPr="00934607">
              <w:rPr>
                <w:rFonts w:ascii="Times New Roman" w:hAnsi="Times New Roman" w:cs="Times New Roman"/>
                <w:color w:val="auto"/>
              </w:rPr>
              <w:t>“</w:t>
            </w:r>
            <w:r w:rsidRPr="00934607">
              <w:rPr>
                <w:rFonts w:ascii="Times New Roman" w:hAnsi="Times New Roman" w:cs="Times New Roman"/>
                <w:color w:val="auto"/>
              </w:rPr>
              <w:t>三降举措</w:t>
            </w:r>
            <w:r w:rsidRPr="00934607">
              <w:rPr>
                <w:rFonts w:ascii="Times New Roman" w:hAnsi="Times New Roman" w:cs="Times New Roman"/>
                <w:color w:val="auto"/>
              </w:rPr>
              <w:t>”</w:t>
            </w:r>
            <w:r w:rsidRPr="00934607">
              <w:rPr>
                <w:rFonts w:ascii="Times New Roman" w:hAnsi="Times New Roman" w:cs="Times New Roman"/>
                <w:color w:val="auto"/>
              </w:rPr>
              <w:t>，目前取得了哪些成效？</w:t>
            </w:r>
          </w:p>
          <w:p w14:paraId="188265F9" w14:textId="414B1C4B" w:rsidR="002070EF" w:rsidRPr="00934607" w:rsidRDefault="002070EF" w:rsidP="002070EF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答：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2024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年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5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月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新一届管理层上任后，从实现高质量可持续发展的角度出发，提出了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“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三降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”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举措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（降低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资产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负债率、降低融资成本、降低资本</w:t>
            </w:r>
            <w:r w:rsidR="00CB5474" w:rsidRPr="00934607">
              <w:rPr>
                <w:rFonts w:ascii="Times New Roman" w:hAnsi="Times New Roman" w:cs="Times New Roman"/>
                <w:b w:val="0"/>
                <w:color w:val="auto"/>
              </w:rPr>
              <w:t>性</w:t>
            </w:r>
            <w:r w:rsidR="001477B8" w:rsidRPr="00934607">
              <w:rPr>
                <w:rFonts w:ascii="Times New Roman" w:hAnsi="Times New Roman" w:cs="Times New Roman"/>
                <w:b w:val="0"/>
                <w:color w:val="auto"/>
              </w:rPr>
              <w:t>支出）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</w:p>
          <w:p w14:paraId="5D8EC50A" w14:textId="158B638F" w:rsidR="002070EF" w:rsidRPr="00934607" w:rsidRDefault="002070EF" w:rsidP="002070EF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在负债率方面，去年年底公司负债率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超过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70%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，截至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今年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9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月底，负债率</w:t>
            </w:r>
            <w:r w:rsidR="00DF0207" w:rsidRPr="00934607">
              <w:rPr>
                <w:rFonts w:ascii="Times New Roman" w:hAnsi="Times New Roman" w:cs="Times New Roman"/>
                <w:b w:val="0"/>
                <w:color w:val="auto"/>
              </w:rPr>
              <w:t>已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降低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个百分点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后续，公司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将进一步提升运营管理效率，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进一步降低负债率。</w:t>
            </w:r>
          </w:p>
          <w:p w14:paraId="492A0AB1" w14:textId="7FC1893A" w:rsidR="002070EF" w:rsidRPr="00934607" w:rsidRDefault="002070EF" w:rsidP="002070EF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在降低融资成本方面，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公司依托相关金融政策</w:t>
            </w:r>
            <w:r w:rsidR="003D4878">
              <w:rPr>
                <w:rFonts w:ascii="Times New Roman" w:hAnsi="Times New Roman" w:cs="Times New Roman" w:hint="eastAsia"/>
                <w:b w:val="0"/>
                <w:color w:val="auto"/>
              </w:rPr>
              <w:t>，积极采取降本举措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，</w:t>
            </w:r>
            <w:r w:rsidR="003D4878" w:rsidRPr="003D4878">
              <w:rPr>
                <w:rFonts w:ascii="Times New Roman" w:hAnsi="Times New Roman" w:cs="Times New Roman" w:hint="eastAsia"/>
                <w:b w:val="0"/>
                <w:color w:val="auto"/>
              </w:rPr>
              <w:t>通过低利率置换高利率、提前还款、下调存量贷款利率等方式降低融资成本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。</w:t>
            </w:r>
          </w:p>
          <w:p w14:paraId="6CE8FE04" w14:textId="1FAAF598" w:rsidR="002070EF" w:rsidRPr="00934607" w:rsidRDefault="002070EF" w:rsidP="002070EF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在资本</w:t>
            </w:r>
            <w:r w:rsidR="007172CE" w:rsidRPr="00934607">
              <w:rPr>
                <w:rFonts w:ascii="Times New Roman" w:hAnsi="Times New Roman" w:cs="Times New Roman"/>
                <w:b w:val="0"/>
                <w:color w:val="auto"/>
              </w:rPr>
              <w:t>性</w:t>
            </w: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支出方面，</w:t>
            </w:r>
            <w:r w:rsidR="00BB32EC" w:rsidRPr="00934607">
              <w:rPr>
                <w:rFonts w:ascii="Times New Roman" w:hAnsi="Times New Roman" w:cs="Times New Roman"/>
                <w:b w:val="0"/>
                <w:color w:val="auto"/>
              </w:rPr>
              <w:t>前期绿色石化板块的项目投资基本已完成，</w:t>
            </w:r>
            <w:r w:rsidR="002E566F" w:rsidRPr="00934607">
              <w:rPr>
                <w:rFonts w:ascii="Times New Roman" w:hAnsi="Times New Roman" w:cs="Times New Roman"/>
                <w:b w:val="0"/>
                <w:color w:val="auto"/>
              </w:rPr>
              <w:t>未来</w:t>
            </w:r>
            <w:r w:rsidR="00BB32EC" w:rsidRPr="00934607">
              <w:rPr>
                <w:rFonts w:ascii="Times New Roman" w:hAnsi="Times New Roman" w:cs="Times New Roman"/>
                <w:b w:val="0"/>
                <w:color w:val="auto"/>
              </w:rPr>
              <w:t>的投资项目主要聚焦在改性塑料、新材料板块</w:t>
            </w:r>
            <w:r w:rsidR="00471E3D" w:rsidRPr="00934607">
              <w:rPr>
                <w:rFonts w:ascii="Times New Roman" w:hAnsi="Times New Roman" w:cs="Times New Roman"/>
                <w:b w:val="0"/>
                <w:color w:val="auto"/>
              </w:rPr>
              <w:t>上</w:t>
            </w:r>
            <w:r w:rsidR="00BB32EC" w:rsidRPr="00934607">
              <w:rPr>
                <w:rFonts w:ascii="Times New Roman" w:hAnsi="Times New Roman" w:cs="Times New Roman"/>
                <w:b w:val="0"/>
                <w:color w:val="auto"/>
              </w:rPr>
              <w:t>，投资规模相对较低。</w:t>
            </w:r>
          </w:p>
          <w:p w14:paraId="08142D86" w14:textId="77777777" w:rsidR="002070EF" w:rsidRPr="00934607" w:rsidRDefault="002070EF" w:rsidP="002070EF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08C69274" w14:textId="7D909CB4" w:rsidR="002070EF" w:rsidRPr="00934607" w:rsidRDefault="002070EF" w:rsidP="002070EF">
            <w:pPr>
              <w:pStyle w:val="TableParagraph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t>问题</w:t>
            </w:r>
            <w:r w:rsidR="0060003C">
              <w:rPr>
                <w:rFonts w:ascii="Times New Roman" w:hAnsi="Times New Roman" w:cs="Times New Roman"/>
                <w:color w:val="auto"/>
              </w:rPr>
              <w:t>7</w:t>
            </w:r>
            <w:r w:rsidRPr="00934607">
              <w:rPr>
                <w:rFonts w:ascii="Times New Roman" w:hAnsi="Times New Roman" w:cs="Times New Roman"/>
                <w:color w:val="auto"/>
              </w:rPr>
              <w:t>：</w:t>
            </w:r>
            <w:r w:rsidR="001226A8" w:rsidRPr="00934607">
              <w:rPr>
                <w:rFonts w:ascii="Times New Roman" w:hAnsi="Times New Roman" w:cs="Times New Roman"/>
                <w:color w:val="auto"/>
              </w:rPr>
              <w:t>请</w:t>
            </w:r>
            <w:r w:rsidR="006B637E" w:rsidRPr="00934607">
              <w:rPr>
                <w:rFonts w:ascii="Times New Roman" w:hAnsi="Times New Roman" w:cs="Times New Roman"/>
                <w:color w:val="auto"/>
              </w:rPr>
              <w:t>问公司</w:t>
            </w:r>
            <w:r w:rsidRPr="00934607">
              <w:rPr>
                <w:rFonts w:ascii="Times New Roman" w:hAnsi="Times New Roman" w:cs="Times New Roman"/>
                <w:color w:val="auto"/>
              </w:rPr>
              <w:t>对四季度</w:t>
            </w:r>
            <w:r w:rsidR="001226A8" w:rsidRPr="00934607">
              <w:rPr>
                <w:rFonts w:ascii="Times New Roman" w:hAnsi="Times New Roman" w:cs="Times New Roman"/>
                <w:color w:val="auto"/>
              </w:rPr>
              <w:t>经营情况</w:t>
            </w:r>
            <w:r w:rsidR="006B637E" w:rsidRPr="00934607">
              <w:rPr>
                <w:rFonts w:ascii="Times New Roman" w:hAnsi="Times New Roman" w:cs="Times New Roman"/>
                <w:color w:val="auto"/>
              </w:rPr>
              <w:t>如何</w:t>
            </w:r>
            <w:r w:rsidRPr="00934607">
              <w:rPr>
                <w:rFonts w:ascii="Times New Roman" w:hAnsi="Times New Roman" w:cs="Times New Roman"/>
                <w:color w:val="auto"/>
              </w:rPr>
              <w:t>展望？</w:t>
            </w:r>
          </w:p>
          <w:p w14:paraId="50B423A9" w14:textId="6BCBFA65" w:rsidR="002070EF" w:rsidRPr="00934607" w:rsidRDefault="002070EF">
            <w:pPr>
              <w:pStyle w:val="TableParagraph"/>
              <w:ind w:firstLine="40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答：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公司</w:t>
            </w:r>
            <w:r w:rsidR="00274EB5" w:rsidRPr="00934607">
              <w:rPr>
                <w:rFonts w:ascii="Times New Roman" w:hAnsi="Times New Roman" w:cs="Times New Roman"/>
                <w:b w:val="0"/>
                <w:color w:val="auto"/>
              </w:rPr>
              <w:t>在第四季度将继续努力，</w:t>
            </w:r>
            <w:r w:rsidR="00A12180" w:rsidRPr="00934607">
              <w:rPr>
                <w:rFonts w:ascii="Times New Roman" w:hAnsi="Times New Roman" w:cs="Times New Roman"/>
                <w:b w:val="0"/>
                <w:color w:val="auto"/>
              </w:rPr>
              <w:t>积极</w:t>
            </w:r>
            <w:r w:rsidR="00274EB5" w:rsidRPr="00934607">
              <w:rPr>
                <w:rFonts w:ascii="Times New Roman" w:hAnsi="Times New Roman" w:cs="Times New Roman"/>
                <w:b w:val="0"/>
                <w:color w:val="auto"/>
              </w:rPr>
              <w:t>推进各业务板块的运营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。在改性塑料和新材料</w:t>
            </w:r>
            <w:r w:rsidR="00CB18AC" w:rsidRPr="00934607">
              <w:rPr>
                <w:rFonts w:ascii="Times New Roman" w:hAnsi="Times New Roman" w:cs="Times New Roman"/>
                <w:b w:val="0"/>
                <w:color w:val="auto"/>
              </w:rPr>
              <w:t>板块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方面，公司进一步抢单增量，提升盈利。在绿色石化和医疗健康</w:t>
            </w:r>
            <w:r w:rsidR="00CB18AC" w:rsidRPr="00934607">
              <w:rPr>
                <w:rFonts w:ascii="Times New Roman" w:hAnsi="Times New Roman" w:cs="Times New Roman"/>
                <w:b w:val="0"/>
                <w:color w:val="auto"/>
              </w:rPr>
              <w:t>板块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方面，公司推动装置安全平稳运行，通过</w:t>
            </w:r>
            <w:r w:rsidR="002E566F" w:rsidRPr="00934607">
              <w:rPr>
                <w:rFonts w:ascii="Times New Roman" w:hAnsi="Times New Roman" w:cs="Times New Roman"/>
                <w:b w:val="0"/>
                <w:color w:val="auto"/>
              </w:rPr>
              <w:t>持续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技改技措，进一步优化成本，提高运行效率，力争</w:t>
            </w:r>
            <w:r w:rsidR="00FE3B70" w:rsidRPr="00934607">
              <w:rPr>
                <w:rFonts w:ascii="Times New Roman" w:hAnsi="Times New Roman" w:cs="Times New Roman"/>
                <w:b w:val="0"/>
                <w:color w:val="auto"/>
              </w:rPr>
              <w:t>实现</w:t>
            </w:r>
            <w:r w:rsidR="00CB18AC" w:rsidRPr="00934607">
              <w:rPr>
                <w:rFonts w:ascii="Times New Roman" w:hAnsi="Times New Roman" w:cs="Times New Roman"/>
                <w:b w:val="0"/>
                <w:color w:val="auto"/>
              </w:rPr>
              <w:t>进</w:t>
            </w:r>
            <w:r w:rsidR="006B637E" w:rsidRPr="00934607">
              <w:rPr>
                <w:rFonts w:ascii="Times New Roman" w:hAnsi="Times New Roman" w:cs="Times New Roman"/>
                <w:b w:val="0"/>
                <w:color w:val="auto"/>
              </w:rPr>
              <w:t>一步减亏。</w:t>
            </w:r>
            <w:bookmarkStart w:id="0" w:name="_GoBack"/>
            <w:bookmarkEnd w:id="0"/>
          </w:p>
          <w:p w14:paraId="4EBF0A14" w14:textId="5CA622AC" w:rsidR="005C2254" w:rsidRPr="00934607" w:rsidRDefault="005C2254" w:rsidP="002C00C1">
            <w:pPr>
              <w:pStyle w:val="TableParagrap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2254" w:rsidRPr="00934607" w14:paraId="44B688F4" w14:textId="77777777" w:rsidTr="00A66A0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5C2254" w:rsidRPr="00934607" w:rsidRDefault="00C266DE" w:rsidP="00A66A0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4607">
              <w:rPr>
                <w:rFonts w:ascii="Times New Roman" w:hAnsi="Times New Roman" w:cs="Times New Roman"/>
                <w:color w:val="auto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48C04066" w:rsidR="005C2254" w:rsidRPr="00934607" w:rsidRDefault="00A66A07" w:rsidP="00A66A0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34607">
              <w:rPr>
                <w:rFonts w:ascii="Times New Roman" w:hAnsi="Times New Roman" w:cs="Times New Roman"/>
                <w:b w:val="0"/>
                <w:color w:val="auto"/>
              </w:rPr>
              <w:t>参与交流的机构及人员（排名不分先后）</w:t>
            </w:r>
          </w:p>
          <w:tbl>
            <w:tblPr>
              <w:tblW w:w="4681" w:type="pct"/>
              <w:tblLook w:val="04A0" w:firstRow="1" w:lastRow="0" w:firstColumn="1" w:lastColumn="0" w:noHBand="0" w:noVBand="1"/>
            </w:tblPr>
            <w:tblGrid>
              <w:gridCol w:w="688"/>
              <w:gridCol w:w="1599"/>
              <w:gridCol w:w="910"/>
              <w:gridCol w:w="832"/>
              <w:gridCol w:w="1681"/>
              <w:gridCol w:w="886"/>
            </w:tblGrid>
            <w:tr w:rsidR="00A66A07" w:rsidRPr="00934607" w14:paraId="657EB89F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0B39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bidi="ar-SA"/>
                    </w:rPr>
                    <w:t>序号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5666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  <w:t>公司</w:t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5E45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  <w:t>姓名</w:t>
                  </w:r>
                </w:p>
              </w:tc>
              <w:tc>
                <w:tcPr>
                  <w:tcW w:w="6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4E56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bidi="ar-SA"/>
                    </w:rPr>
                    <w:t>序号</w:t>
                  </w:r>
                </w:p>
              </w:tc>
              <w:tc>
                <w:tcPr>
                  <w:tcW w:w="12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22C9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  <w:t>公司</w:t>
                  </w:r>
                </w:p>
              </w:tc>
              <w:tc>
                <w:tcPr>
                  <w:tcW w:w="6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553D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b/>
                      <w:bCs/>
                      <w:sz w:val="20"/>
                      <w:szCs w:val="20"/>
                      <w:lang w:val="en-US" w:bidi="ar-SA"/>
                    </w:rPr>
                    <w:t>姓名</w:t>
                  </w:r>
                </w:p>
              </w:tc>
            </w:tr>
            <w:tr w:rsidR="00A66A07" w:rsidRPr="00934607" w14:paraId="7A959C94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D914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BA27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财通基金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3ABB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张玉龙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0075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36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574D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申万宏源证券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0EBE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李绍程</w:t>
                  </w:r>
                </w:p>
              </w:tc>
            </w:tr>
            <w:tr w:rsidR="00A66A07" w:rsidRPr="00934607" w14:paraId="443CA1A7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4E06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205B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东北证券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E23B1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沈露瑶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098C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37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1B41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上海证券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730E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王哲</w:t>
                  </w:r>
                </w:p>
              </w:tc>
            </w:tr>
            <w:tr w:rsidR="00A66A07" w:rsidRPr="00934607" w14:paraId="5549ECB0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26E4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DF8E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东方证券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3997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顾雪莺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2CC8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38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E667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太平洋证券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E896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白竣天</w:t>
                  </w:r>
                </w:p>
              </w:tc>
            </w:tr>
            <w:tr w:rsidR="00A66A07" w:rsidRPr="00934607" w14:paraId="7941834F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A059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529A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格林基金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CB80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杨舒铭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D9B4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39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A8A1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天风证券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0A75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邢颜凝</w:t>
                  </w:r>
                </w:p>
              </w:tc>
            </w:tr>
            <w:tr w:rsidR="00A66A07" w:rsidRPr="00934607" w14:paraId="6CF81391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7567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C513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耕霁投资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4AA3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莫莉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29D9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40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4070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西部证券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DEC8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李妍</w:t>
                  </w:r>
                </w:p>
              </w:tc>
            </w:tr>
            <w:tr w:rsidR="00A66A07" w:rsidRPr="00934607" w14:paraId="1EB43E92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38CC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B6AF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广东合丰私募基金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2FE3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赵晓莹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3DB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41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C108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西南证券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3320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汪智谦</w:t>
                  </w:r>
                </w:p>
              </w:tc>
            </w:tr>
            <w:tr w:rsidR="00A66A07" w:rsidRPr="00934607" w14:paraId="05A1FA53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127B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7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CF4D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广发证券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A9F4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曲尚浩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D03D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42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A216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西南证券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070B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王金源</w:t>
                  </w:r>
                </w:p>
              </w:tc>
            </w:tr>
            <w:tr w:rsidR="00A66A07" w:rsidRPr="00934607" w14:paraId="35A19B4D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CF8B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8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DCDD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广发证券资管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F3AC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孙国萌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FA80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43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F1C4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兴业证券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C4E3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张勋</w:t>
                  </w:r>
                </w:p>
              </w:tc>
            </w:tr>
            <w:tr w:rsidR="00A66A07" w:rsidRPr="00934607" w14:paraId="163D01F6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FB47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9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AE46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国海证券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89BC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李永磊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D1E1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44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97CA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兴业证券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EFF8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刘梓涵</w:t>
                  </w:r>
                </w:p>
              </w:tc>
            </w:tr>
            <w:tr w:rsidR="00A66A07" w:rsidRPr="00934607" w14:paraId="7312EFB9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0E4C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10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578C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国海证券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7B6B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于畅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8B84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45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2986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兴业证券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D264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吉金</w:t>
                  </w:r>
                </w:p>
              </w:tc>
            </w:tr>
            <w:tr w:rsidR="00A66A07" w:rsidRPr="00934607" w14:paraId="52E0AD4A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37C4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11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465A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国金证券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B61D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王明辉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4A60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46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34F1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远信私募基金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DDD5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黄垲锐</w:t>
                  </w:r>
                </w:p>
              </w:tc>
            </w:tr>
            <w:tr w:rsidR="00A66A07" w:rsidRPr="00934607" w14:paraId="67C38A08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4DE8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12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AABE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国金证券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281B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任建斌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7CC9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47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04E7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粵佛私募基金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EF90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曹志平</w:t>
                  </w:r>
                </w:p>
              </w:tc>
            </w:tr>
            <w:tr w:rsidR="00A66A07" w:rsidRPr="00934607" w14:paraId="1F299F5F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3399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13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5F44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国联证券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3DF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张玮航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8CAB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48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64E2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长城证券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0654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王彤</w:t>
                  </w:r>
                </w:p>
              </w:tc>
            </w:tr>
            <w:tr w:rsidR="00A66A07" w:rsidRPr="00934607" w14:paraId="12B679B9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3C5C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14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7E51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国盛证券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DB11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尹乐川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F056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49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063D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长城证券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40EB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肖亚平</w:t>
                  </w:r>
                </w:p>
              </w:tc>
            </w:tr>
            <w:tr w:rsidR="00A66A07" w:rsidRPr="00934607" w14:paraId="06CBA4FA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87AD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15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E1CC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国泰君安证券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36DB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钱伟伦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3DFE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50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0F75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长江证券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D58F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魏邈</w:t>
                  </w:r>
                </w:p>
              </w:tc>
            </w:tr>
            <w:tr w:rsidR="00A66A07" w:rsidRPr="00934607" w14:paraId="435A8BE4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4ADD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16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CD7B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国信证券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D129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王新航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F668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51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E097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招商证券自营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CDBD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李辰</w:t>
                  </w:r>
                </w:p>
              </w:tc>
            </w:tr>
            <w:tr w:rsidR="00A66A07" w:rsidRPr="00934607" w14:paraId="24FEC02D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57A1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17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9195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国信证券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E3B2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薛聪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F4BF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52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2EB1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浙商证券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0FA4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汤永俊</w:t>
                  </w:r>
                </w:p>
              </w:tc>
            </w:tr>
            <w:tr w:rsidR="00A66A07" w:rsidRPr="00934607" w14:paraId="06584633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F494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18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AF4D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杭州弈宸私募基金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FEA5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华鼎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D1C2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53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F337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中金公司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5D71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傅锴铭</w:t>
                  </w:r>
                </w:p>
              </w:tc>
            </w:tr>
            <w:tr w:rsidR="00A66A07" w:rsidRPr="00934607" w14:paraId="29F1BE19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9CDA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19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318D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红杉资本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CF18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闫慧辰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9D64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54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F2C2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中金公司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DA86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吴頔</w:t>
                  </w:r>
                </w:p>
              </w:tc>
            </w:tr>
            <w:tr w:rsidR="00A66A07" w:rsidRPr="00934607" w14:paraId="63B65C76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6A0B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20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0924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鸿运私募基金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97D8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蒋睿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23B15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55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1323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中金资管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0AB3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金宾斌</w:t>
                  </w:r>
                </w:p>
              </w:tc>
            </w:tr>
            <w:tr w:rsidR="00A66A07" w:rsidRPr="00934607" w14:paraId="09DA3096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60D4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21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86B0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华安证券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DFC2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李大鹏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E2DA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56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9DA8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中信证券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025E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王子宁</w:t>
                  </w:r>
                </w:p>
              </w:tc>
            </w:tr>
            <w:tr w:rsidR="00A66A07" w:rsidRPr="00934607" w14:paraId="7536CE54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6AA0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22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5CFF1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华安证券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744F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苏雯铃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E821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57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1809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重庆博永私募基金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E678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吴成春</w:t>
                  </w:r>
                </w:p>
              </w:tc>
            </w:tr>
            <w:tr w:rsidR="00A66A07" w:rsidRPr="00934607" w14:paraId="3161E657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66B5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23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1E2E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华创证券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B2F2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王玉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DE16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58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DE447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华安证券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F5DE6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喻明</w:t>
                  </w:r>
                </w:p>
              </w:tc>
            </w:tr>
            <w:tr w:rsidR="00A66A07" w:rsidRPr="00934607" w14:paraId="71D11A2C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E780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24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FE8B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华福证券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F2FC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韩广智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814B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59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0B31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方正证券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41D3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吴少兰</w:t>
                  </w:r>
                </w:p>
              </w:tc>
            </w:tr>
            <w:tr w:rsidR="00A66A07" w:rsidRPr="00934607" w14:paraId="590DC04B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5F25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25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F8E4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华泰证券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3534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杨文韬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E97E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60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6028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厦门国际银行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B18A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李福平</w:t>
                  </w:r>
                </w:p>
              </w:tc>
            </w:tr>
            <w:tr w:rsidR="00A66A07" w:rsidRPr="00934607" w14:paraId="6A633029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6E03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26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4F45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汇丰前海证券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EEE1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茹艺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100E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61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4CBD9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睿和投资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1226B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曾永澄</w:t>
                  </w:r>
                </w:p>
              </w:tc>
            </w:tr>
            <w:tr w:rsidR="00A66A07" w:rsidRPr="00934607" w14:paraId="25C736B6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B894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27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D9D3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君和资本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4302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金搏扬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8095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62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1BC31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招商银行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8642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曾丽</w:t>
                  </w:r>
                </w:p>
              </w:tc>
            </w:tr>
            <w:tr w:rsidR="00A66A07" w:rsidRPr="00934607" w14:paraId="3BCA63E2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AB85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28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E9B5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开源证券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8D6F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宋梓荣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DDA5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63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0D9DD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国投证券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6DD67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张智珍</w:t>
                  </w:r>
                </w:p>
              </w:tc>
            </w:tr>
            <w:tr w:rsidR="00A66A07" w:rsidRPr="00934607" w14:paraId="28D1B6A9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6B33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29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5FDD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开源证券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868D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张晓锋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BC9DE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64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FC0C7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金字塔投资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77CBC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罗鹏辉</w:t>
                  </w:r>
                </w:p>
              </w:tc>
            </w:tr>
            <w:tr w:rsidR="00A66A07" w:rsidRPr="00934607" w14:paraId="63EC177F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946A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30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8B65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民生证券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8AFA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李金凤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7776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65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AC8D2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金字塔投资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B0BA6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杨柏迪</w:t>
                  </w: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 xml:space="preserve"> </w:t>
                  </w:r>
                </w:p>
              </w:tc>
            </w:tr>
            <w:tr w:rsidR="00A66A07" w:rsidRPr="00934607" w14:paraId="4BCE755D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E5CA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31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5FDC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摩根士丹利基金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5F6F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孙人杰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1222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66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06F3C7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金字塔投资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C2DE1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温晴</w:t>
                  </w:r>
                </w:p>
              </w:tc>
            </w:tr>
            <w:tr w:rsidR="00A66A07" w:rsidRPr="00934607" w14:paraId="7BEA8981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9514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32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0824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瑞银证券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314C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林良杰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092C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67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4B7B3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正和岛投资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C3ADAC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邝健泽</w:t>
                  </w:r>
                </w:p>
              </w:tc>
            </w:tr>
            <w:tr w:rsidR="00A66A07" w:rsidRPr="00934607" w14:paraId="441052FD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A1AE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33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66E93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山西证券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CDDD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刘聪颖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72BE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68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1B98C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久银投资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C1DB8B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吴剑新</w:t>
                  </w:r>
                </w:p>
              </w:tc>
            </w:tr>
            <w:tr w:rsidR="00A66A07" w:rsidRPr="00934607" w14:paraId="1FE4F63D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C988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34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4BDC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上海度势投资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228E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顾宝成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71D8D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69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556D9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广州众邦投资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59D248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李兆崧</w:t>
                  </w:r>
                </w:p>
              </w:tc>
            </w:tr>
            <w:tr w:rsidR="00A66A07" w:rsidRPr="00934607" w14:paraId="3465B1DE" w14:textId="77777777" w:rsidTr="00A66A07">
              <w:trPr>
                <w:trHeight w:val="290"/>
              </w:trPr>
              <w:tc>
                <w:tcPr>
                  <w:tcW w:w="48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75316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35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B2D10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上海量洋投资</w:t>
                  </w:r>
                </w:p>
              </w:tc>
              <w:tc>
                <w:tcPr>
                  <w:tcW w:w="7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C8FE2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郑少武</w:t>
                  </w:r>
                </w:p>
              </w:tc>
              <w:tc>
                <w:tcPr>
                  <w:tcW w:w="6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8BF79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70</w:t>
                  </w:r>
                </w:p>
              </w:tc>
              <w:tc>
                <w:tcPr>
                  <w:tcW w:w="12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564DCA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广东岭信控股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F30724" w14:textId="77777777" w:rsidR="00A66A07" w:rsidRPr="00934607" w:rsidRDefault="00A66A07" w:rsidP="00A66A0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</w:pPr>
                  <w:r w:rsidRPr="00934607">
                    <w:rPr>
                      <w:rFonts w:ascii="Times New Roman" w:eastAsiaTheme="minorEastAsia" w:hAnsi="Times New Roman" w:cs="Times New Roman"/>
                      <w:color w:val="000000"/>
                      <w:sz w:val="20"/>
                      <w:szCs w:val="20"/>
                      <w:lang w:val="en-US" w:bidi="ar-SA"/>
                    </w:rPr>
                    <w:t>郭俊鹏</w:t>
                  </w:r>
                </w:p>
              </w:tc>
            </w:tr>
          </w:tbl>
          <w:p w14:paraId="2C689F5D" w14:textId="2BC3E6CA" w:rsidR="00A66A07" w:rsidRPr="00934607" w:rsidRDefault="00A66A07" w:rsidP="00A66A0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14:paraId="4B284451" w14:textId="77777777" w:rsidR="005C2254" w:rsidRPr="006A6990" w:rsidRDefault="005C2254">
      <w:pPr>
        <w:spacing w:beforeLines="50" w:before="120" w:line="360" w:lineRule="auto"/>
        <w:rPr>
          <w:rFonts w:ascii="宋体" w:eastAsia="宋体" w:hAnsi="宋体" w:cs="宋体"/>
          <w:sz w:val="20"/>
        </w:rPr>
      </w:pPr>
    </w:p>
    <w:sectPr w:rsidR="005C2254" w:rsidRPr="006A6990">
      <w:footerReference w:type="default" r:id="rId8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118F06" w16cex:dateUtc="2024-11-02T04:48:00Z"/>
  <w16cex:commentExtensible w16cex:durableId="6BCF3B86" w16cex:dateUtc="2024-11-02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D22809" w16cid:durableId="6B118F06"/>
  <w16cid:commentId w16cid:paraId="7FBB17E9" w16cid:durableId="6BCF3B8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F045" w14:textId="77777777" w:rsidR="005E30BE" w:rsidRDefault="005E30BE" w:rsidP="009E006E">
      <w:r>
        <w:separator/>
      </w:r>
    </w:p>
  </w:endnote>
  <w:endnote w:type="continuationSeparator" w:id="0">
    <w:p w14:paraId="6E9F3ADD" w14:textId="77777777" w:rsidR="005E30BE" w:rsidRDefault="005E30BE" w:rsidP="009E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89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E690BD" w14:textId="246DEC06" w:rsidR="00E95502" w:rsidRDefault="00E95502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0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30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E95502" w:rsidRDefault="00E955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92C2" w14:textId="77777777" w:rsidR="005E30BE" w:rsidRDefault="005E30BE" w:rsidP="009E006E">
      <w:r>
        <w:separator/>
      </w:r>
    </w:p>
  </w:footnote>
  <w:footnote w:type="continuationSeparator" w:id="0">
    <w:p w14:paraId="4B81BDC6" w14:textId="77777777" w:rsidR="005E30BE" w:rsidRDefault="005E30BE" w:rsidP="009E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F40CC"/>
    <w:multiLevelType w:val="multilevel"/>
    <w:tmpl w:val="659F40CC"/>
    <w:lvl w:ilvl="0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C36"/>
    <w:rsid w:val="000031FF"/>
    <w:rsid w:val="00015683"/>
    <w:rsid w:val="0002579A"/>
    <w:rsid w:val="00026CC3"/>
    <w:rsid w:val="00030733"/>
    <w:rsid w:val="00036089"/>
    <w:rsid w:val="00050E81"/>
    <w:rsid w:val="00051504"/>
    <w:rsid w:val="00051995"/>
    <w:rsid w:val="00053129"/>
    <w:rsid w:val="00053CFA"/>
    <w:rsid w:val="000548CE"/>
    <w:rsid w:val="000629F1"/>
    <w:rsid w:val="000633EC"/>
    <w:rsid w:val="00063804"/>
    <w:rsid w:val="000665A2"/>
    <w:rsid w:val="0006761B"/>
    <w:rsid w:val="00070037"/>
    <w:rsid w:val="000724CE"/>
    <w:rsid w:val="00077C57"/>
    <w:rsid w:val="000809FC"/>
    <w:rsid w:val="000861AC"/>
    <w:rsid w:val="000877AB"/>
    <w:rsid w:val="00092ED6"/>
    <w:rsid w:val="00093D17"/>
    <w:rsid w:val="000A049A"/>
    <w:rsid w:val="000A4B85"/>
    <w:rsid w:val="000A5F76"/>
    <w:rsid w:val="000B0BE7"/>
    <w:rsid w:val="000B6628"/>
    <w:rsid w:val="000B7C08"/>
    <w:rsid w:val="000C0EB6"/>
    <w:rsid w:val="000C0F33"/>
    <w:rsid w:val="000C1DC4"/>
    <w:rsid w:val="000C564C"/>
    <w:rsid w:val="000D12CF"/>
    <w:rsid w:val="000D2C64"/>
    <w:rsid w:val="000D2D88"/>
    <w:rsid w:val="000D4BCA"/>
    <w:rsid w:val="000D4E20"/>
    <w:rsid w:val="000D704A"/>
    <w:rsid w:val="000D7617"/>
    <w:rsid w:val="000E117A"/>
    <w:rsid w:val="000E3437"/>
    <w:rsid w:val="000E448A"/>
    <w:rsid w:val="000E4B20"/>
    <w:rsid w:val="000E6DCF"/>
    <w:rsid w:val="001025FF"/>
    <w:rsid w:val="001057BB"/>
    <w:rsid w:val="0010640F"/>
    <w:rsid w:val="00111BDB"/>
    <w:rsid w:val="00111EE9"/>
    <w:rsid w:val="00113A52"/>
    <w:rsid w:val="0011418F"/>
    <w:rsid w:val="00115A83"/>
    <w:rsid w:val="00116C15"/>
    <w:rsid w:val="00121418"/>
    <w:rsid w:val="001226A8"/>
    <w:rsid w:val="00124A42"/>
    <w:rsid w:val="00125132"/>
    <w:rsid w:val="001347F8"/>
    <w:rsid w:val="001477B8"/>
    <w:rsid w:val="00153CCD"/>
    <w:rsid w:val="001542AC"/>
    <w:rsid w:val="00155820"/>
    <w:rsid w:val="001602DA"/>
    <w:rsid w:val="0016380B"/>
    <w:rsid w:val="00171EEB"/>
    <w:rsid w:val="00172270"/>
    <w:rsid w:val="00172C24"/>
    <w:rsid w:val="001840D2"/>
    <w:rsid w:val="00190C40"/>
    <w:rsid w:val="001933EC"/>
    <w:rsid w:val="00196BE8"/>
    <w:rsid w:val="00197867"/>
    <w:rsid w:val="001A5C17"/>
    <w:rsid w:val="001A6688"/>
    <w:rsid w:val="001A6C6A"/>
    <w:rsid w:val="001B01D8"/>
    <w:rsid w:val="001B0277"/>
    <w:rsid w:val="001B0D11"/>
    <w:rsid w:val="001B0ED7"/>
    <w:rsid w:val="001B2E4B"/>
    <w:rsid w:val="001B66E1"/>
    <w:rsid w:val="001B6C89"/>
    <w:rsid w:val="001C10B2"/>
    <w:rsid w:val="001C12A7"/>
    <w:rsid w:val="001C5C98"/>
    <w:rsid w:val="001D7162"/>
    <w:rsid w:val="001E3182"/>
    <w:rsid w:val="001E42C3"/>
    <w:rsid w:val="001E4707"/>
    <w:rsid w:val="001E59D1"/>
    <w:rsid w:val="001E5EA4"/>
    <w:rsid w:val="002042A7"/>
    <w:rsid w:val="00204AEB"/>
    <w:rsid w:val="00204E41"/>
    <w:rsid w:val="00205911"/>
    <w:rsid w:val="00206AE1"/>
    <w:rsid w:val="002070EF"/>
    <w:rsid w:val="00211637"/>
    <w:rsid w:val="002146AD"/>
    <w:rsid w:val="002201A5"/>
    <w:rsid w:val="00221D76"/>
    <w:rsid w:val="00225813"/>
    <w:rsid w:val="0023082D"/>
    <w:rsid w:val="002354BE"/>
    <w:rsid w:val="00243F61"/>
    <w:rsid w:val="0024475B"/>
    <w:rsid w:val="00244BE6"/>
    <w:rsid w:val="00247260"/>
    <w:rsid w:val="00247C15"/>
    <w:rsid w:val="002526EE"/>
    <w:rsid w:val="00252C6A"/>
    <w:rsid w:val="00254300"/>
    <w:rsid w:val="0025486C"/>
    <w:rsid w:val="00257700"/>
    <w:rsid w:val="00257C67"/>
    <w:rsid w:val="0026268B"/>
    <w:rsid w:val="00262E3F"/>
    <w:rsid w:val="00265067"/>
    <w:rsid w:val="00265339"/>
    <w:rsid w:val="00266A2E"/>
    <w:rsid w:val="00270076"/>
    <w:rsid w:val="00271C21"/>
    <w:rsid w:val="00274EB5"/>
    <w:rsid w:val="00275CB6"/>
    <w:rsid w:val="002800B5"/>
    <w:rsid w:val="00282F34"/>
    <w:rsid w:val="002835BD"/>
    <w:rsid w:val="002878E3"/>
    <w:rsid w:val="00293370"/>
    <w:rsid w:val="00295B29"/>
    <w:rsid w:val="0029766C"/>
    <w:rsid w:val="002B0E4C"/>
    <w:rsid w:val="002B17D6"/>
    <w:rsid w:val="002B227F"/>
    <w:rsid w:val="002B3833"/>
    <w:rsid w:val="002B4010"/>
    <w:rsid w:val="002B413D"/>
    <w:rsid w:val="002B548F"/>
    <w:rsid w:val="002C00C1"/>
    <w:rsid w:val="002C6DC3"/>
    <w:rsid w:val="002D1AE4"/>
    <w:rsid w:val="002D4073"/>
    <w:rsid w:val="002D4412"/>
    <w:rsid w:val="002D4FBA"/>
    <w:rsid w:val="002E566F"/>
    <w:rsid w:val="002E7098"/>
    <w:rsid w:val="002E7863"/>
    <w:rsid w:val="002F0FCE"/>
    <w:rsid w:val="002F194F"/>
    <w:rsid w:val="002F4A02"/>
    <w:rsid w:val="002F581C"/>
    <w:rsid w:val="00301859"/>
    <w:rsid w:val="00301D32"/>
    <w:rsid w:val="00301E47"/>
    <w:rsid w:val="00302C6C"/>
    <w:rsid w:val="00306C04"/>
    <w:rsid w:val="0031119C"/>
    <w:rsid w:val="00312BF0"/>
    <w:rsid w:val="003144A6"/>
    <w:rsid w:val="003156EB"/>
    <w:rsid w:val="0031606E"/>
    <w:rsid w:val="00322245"/>
    <w:rsid w:val="00323DEA"/>
    <w:rsid w:val="0032431E"/>
    <w:rsid w:val="00326014"/>
    <w:rsid w:val="00331C8C"/>
    <w:rsid w:val="003345D4"/>
    <w:rsid w:val="00340F0E"/>
    <w:rsid w:val="003517E2"/>
    <w:rsid w:val="00351A71"/>
    <w:rsid w:val="00353A02"/>
    <w:rsid w:val="00353DD9"/>
    <w:rsid w:val="00354A7C"/>
    <w:rsid w:val="00354C87"/>
    <w:rsid w:val="00354CDA"/>
    <w:rsid w:val="0036352C"/>
    <w:rsid w:val="00366FAD"/>
    <w:rsid w:val="0037105B"/>
    <w:rsid w:val="0037338D"/>
    <w:rsid w:val="0037372E"/>
    <w:rsid w:val="00374AE2"/>
    <w:rsid w:val="00381D5A"/>
    <w:rsid w:val="00391F1E"/>
    <w:rsid w:val="0039722E"/>
    <w:rsid w:val="003975BA"/>
    <w:rsid w:val="003A74E6"/>
    <w:rsid w:val="003B33F9"/>
    <w:rsid w:val="003B3E2E"/>
    <w:rsid w:val="003B49E3"/>
    <w:rsid w:val="003B5312"/>
    <w:rsid w:val="003B5FC2"/>
    <w:rsid w:val="003B6B40"/>
    <w:rsid w:val="003B6EA8"/>
    <w:rsid w:val="003B73DD"/>
    <w:rsid w:val="003C2682"/>
    <w:rsid w:val="003C5505"/>
    <w:rsid w:val="003D011C"/>
    <w:rsid w:val="003D09EB"/>
    <w:rsid w:val="003D2B89"/>
    <w:rsid w:val="003D3BB6"/>
    <w:rsid w:val="003D4878"/>
    <w:rsid w:val="003E7F7F"/>
    <w:rsid w:val="003F06C9"/>
    <w:rsid w:val="003F40A3"/>
    <w:rsid w:val="003F5173"/>
    <w:rsid w:val="003F5641"/>
    <w:rsid w:val="004108C7"/>
    <w:rsid w:val="00410C56"/>
    <w:rsid w:val="004128BA"/>
    <w:rsid w:val="00412DC2"/>
    <w:rsid w:val="0041331A"/>
    <w:rsid w:val="00413A01"/>
    <w:rsid w:val="00415378"/>
    <w:rsid w:val="00417BD7"/>
    <w:rsid w:val="004237C2"/>
    <w:rsid w:val="0042566C"/>
    <w:rsid w:val="004259E2"/>
    <w:rsid w:val="0042644B"/>
    <w:rsid w:val="004274E7"/>
    <w:rsid w:val="00431CBF"/>
    <w:rsid w:val="004351A5"/>
    <w:rsid w:val="00435481"/>
    <w:rsid w:val="004370EB"/>
    <w:rsid w:val="00437B17"/>
    <w:rsid w:val="00440041"/>
    <w:rsid w:val="00445A60"/>
    <w:rsid w:val="00451268"/>
    <w:rsid w:val="004512D5"/>
    <w:rsid w:val="004515AD"/>
    <w:rsid w:val="00451857"/>
    <w:rsid w:val="0045300A"/>
    <w:rsid w:val="00453516"/>
    <w:rsid w:val="0045385F"/>
    <w:rsid w:val="00456E88"/>
    <w:rsid w:val="00457548"/>
    <w:rsid w:val="0046136E"/>
    <w:rsid w:val="00462E7F"/>
    <w:rsid w:val="00464489"/>
    <w:rsid w:val="00467A0B"/>
    <w:rsid w:val="00470DB2"/>
    <w:rsid w:val="00471E3D"/>
    <w:rsid w:val="00474E22"/>
    <w:rsid w:val="004803E1"/>
    <w:rsid w:val="00481661"/>
    <w:rsid w:val="004837A5"/>
    <w:rsid w:val="004911DF"/>
    <w:rsid w:val="00491677"/>
    <w:rsid w:val="004925E7"/>
    <w:rsid w:val="00495355"/>
    <w:rsid w:val="00495B11"/>
    <w:rsid w:val="00496CB5"/>
    <w:rsid w:val="00497750"/>
    <w:rsid w:val="004A0BF9"/>
    <w:rsid w:val="004A1918"/>
    <w:rsid w:val="004A223B"/>
    <w:rsid w:val="004B17FC"/>
    <w:rsid w:val="004B216A"/>
    <w:rsid w:val="004B7F24"/>
    <w:rsid w:val="004C027A"/>
    <w:rsid w:val="004C027E"/>
    <w:rsid w:val="004C03E7"/>
    <w:rsid w:val="004D7235"/>
    <w:rsid w:val="004E59EA"/>
    <w:rsid w:val="004F0190"/>
    <w:rsid w:val="004F115C"/>
    <w:rsid w:val="004F4F31"/>
    <w:rsid w:val="004F6318"/>
    <w:rsid w:val="004F6785"/>
    <w:rsid w:val="004F6FF3"/>
    <w:rsid w:val="004F711F"/>
    <w:rsid w:val="005116C1"/>
    <w:rsid w:val="00515AC2"/>
    <w:rsid w:val="0052064F"/>
    <w:rsid w:val="0052381D"/>
    <w:rsid w:val="00531F09"/>
    <w:rsid w:val="0053559B"/>
    <w:rsid w:val="00542FCB"/>
    <w:rsid w:val="0054339B"/>
    <w:rsid w:val="00544C54"/>
    <w:rsid w:val="00547167"/>
    <w:rsid w:val="005500F2"/>
    <w:rsid w:val="00551704"/>
    <w:rsid w:val="0055404F"/>
    <w:rsid w:val="005557BC"/>
    <w:rsid w:val="00561A27"/>
    <w:rsid w:val="005627C5"/>
    <w:rsid w:val="00564743"/>
    <w:rsid w:val="005654CD"/>
    <w:rsid w:val="00571B49"/>
    <w:rsid w:val="005726EB"/>
    <w:rsid w:val="005743AE"/>
    <w:rsid w:val="00574649"/>
    <w:rsid w:val="00587659"/>
    <w:rsid w:val="005877C3"/>
    <w:rsid w:val="005902BC"/>
    <w:rsid w:val="00594182"/>
    <w:rsid w:val="0059434A"/>
    <w:rsid w:val="00594648"/>
    <w:rsid w:val="005966E6"/>
    <w:rsid w:val="005A1A5E"/>
    <w:rsid w:val="005A69F3"/>
    <w:rsid w:val="005A7046"/>
    <w:rsid w:val="005B06D5"/>
    <w:rsid w:val="005B1A12"/>
    <w:rsid w:val="005B4362"/>
    <w:rsid w:val="005B50E0"/>
    <w:rsid w:val="005B5111"/>
    <w:rsid w:val="005B6F77"/>
    <w:rsid w:val="005B7348"/>
    <w:rsid w:val="005B7EBD"/>
    <w:rsid w:val="005C2254"/>
    <w:rsid w:val="005C304B"/>
    <w:rsid w:val="005C6C13"/>
    <w:rsid w:val="005D0137"/>
    <w:rsid w:val="005D20C0"/>
    <w:rsid w:val="005D3A92"/>
    <w:rsid w:val="005D64CA"/>
    <w:rsid w:val="005E30BE"/>
    <w:rsid w:val="005E5717"/>
    <w:rsid w:val="005E6DB2"/>
    <w:rsid w:val="005F2FC8"/>
    <w:rsid w:val="0060003C"/>
    <w:rsid w:val="00601F24"/>
    <w:rsid w:val="00603B29"/>
    <w:rsid w:val="006047FF"/>
    <w:rsid w:val="00604F96"/>
    <w:rsid w:val="006121A4"/>
    <w:rsid w:val="0061433E"/>
    <w:rsid w:val="00614AFD"/>
    <w:rsid w:val="00617B46"/>
    <w:rsid w:val="0062457B"/>
    <w:rsid w:val="0062751D"/>
    <w:rsid w:val="00627E59"/>
    <w:rsid w:val="006354AA"/>
    <w:rsid w:val="00635CDA"/>
    <w:rsid w:val="00640ED2"/>
    <w:rsid w:val="00643E98"/>
    <w:rsid w:val="00645F3C"/>
    <w:rsid w:val="0064626D"/>
    <w:rsid w:val="00646932"/>
    <w:rsid w:val="00650499"/>
    <w:rsid w:val="00650F56"/>
    <w:rsid w:val="006518E2"/>
    <w:rsid w:val="0065266E"/>
    <w:rsid w:val="006610BE"/>
    <w:rsid w:val="00661AFA"/>
    <w:rsid w:val="006623E2"/>
    <w:rsid w:val="00666199"/>
    <w:rsid w:val="0067235A"/>
    <w:rsid w:val="006726BF"/>
    <w:rsid w:val="00672FA1"/>
    <w:rsid w:val="00677B77"/>
    <w:rsid w:val="00682589"/>
    <w:rsid w:val="00683FC3"/>
    <w:rsid w:val="0068718A"/>
    <w:rsid w:val="00690D9F"/>
    <w:rsid w:val="00692FDF"/>
    <w:rsid w:val="006A2739"/>
    <w:rsid w:val="006A3EBE"/>
    <w:rsid w:val="006A44A1"/>
    <w:rsid w:val="006A6990"/>
    <w:rsid w:val="006A77DC"/>
    <w:rsid w:val="006A7A2A"/>
    <w:rsid w:val="006B0D81"/>
    <w:rsid w:val="006B1DB5"/>
    <w:rsid w:val="006B3CF5"/>
    <w:rsid w:val="006B5C95"/>
    <w:rsid w:val="006B637E"/>
    <w:rsid w:val="006C1023"/>
    <w:rsid w:val="006C2D83"/>
    <w:rsid w:val="006C7113"/>
    <w:rsid w:val="006C79F0"/>
    <w:rsid w:val="006D0306"/>
    <w:rsid w:val="006D1C34"/>
    <w:rsid w:val="006D2C1F"/>
    <w:rsid w:val="006D6E67"/>
    <w:rsid w:val="006D731E"/>
    <w:rsid w:val="006E14B0"/>
    <w:rsid w:val="006E1CC5"/>
    <w:rsid w:val="006E5EE7"/>
    <w:rsid w:val="006F0108"/>
    <w:rsid w:val="006F3D84"/>
    <w:rsid w:val="006F68CA"/>
    <w:rsid w:val="007019A0"/>
    <w:rsid w:val="00704AE6"/>
    <w:rsid w:val="00707EAC"/>
    <w:rsid w:val="007108EB"/>
    <w:rsid w:val="00713F24"/>
    <w:rsid w:val="007153A2"/>
    <w:rsid w:val="00715FAB"/>
    <w:rsid w:val="00716CF7"/>
    <w:rsid w:val="007172CE"/>
    <w:rsid w:val="00724A68"/>
    <w:rsid w:val="00724D51"/>
    <w:rsid w:val="007271BF"/>
    <w:rsid w:val="00730DD3"/>
    <w:rsid w:val="00733224"/>
    <w:rsid w:val="0073376F"/>
    <w:rsid w:val="00735656"/>
    <w:rsid w:val="00735CB6"/>
    <w:rsid w:val="00737F22"/>
    <w:rsid w:val="00740F49"/>
    <w:rsid w:val="007411DA"/>
    <w:rsid w:val="00743948"/>
    <w:rsid w:val="00744C26"/>
    <w:rsid w:val="00745958"/>
    <w:rsid w:val="00750841"/>
    <w:rsid w:val="007556E1"/>
    <w:rsid w:val="00764128"/>
    <w:rsid w:val="007655C0"/>
    <w:rsid w:val="0077096D"/>
    <w:rsid w:val="007751AC"/>
    <w:rsid w:val="007753AF"/>
    <w:rsid w:val="007824B8"/>
    <w:rsid w:val="007910DD"/>
    <w:rsid w:val="00793963"/>
    <w:rsid w:val="007A18B7"/>
    <w:rsid w:val="007A3EC1"/>
    <w:rsid w:val="007A419B"/>
    <w:rsid w:val="007B3368"/>
    <w:rsid w:val="007B7F99"/>
    <w:rsid w:val="007C4E09"/>
    <w:rsid w:val="007C4EFF"/>
    <w:rsid w:val="007C62BD"/>
    <w:rsid w:val="007D0A69"/>
    <w:rsid w:val="007D1F15"/>
    <w:rsid w:val="007D3199"/>
    <w:rsid w:val="007D6607"/>
    <w:rsid w:val="007D6DC4"/>
    <w:rsid w:val="007F1C02"/>
    <w:rsid w:val="007F31B3"/>
    <w:rsid w:val="007F7C67"/>
    <w:rsid w:val="00803317"/>
    <w:rsid w:val="00804765"/>
    <w:rsid w:val="00804D77"/>
    <w:rsid w:val="00805CA4"/>
    <w:rsid w:val="008162CE"/>
    <w:rsid w:val="008173EF"/>
    <w:rsid w:val="008210BE"/>
    <w:rsid w:val="00821675"/>
    <w:rsid w:val="00823F1C"/>
    <w:rsid w:val="0082585C"/>
    <w:rsid w:val="00825F7F"/>
    <w:rsid w:val="00830C89"/>
    <w:rsid w:val="0083155E"/>
    <w:rsid w:val="008321DE"/>
    <w:rsid w:val="008335C0"/>
    <w:rsid w:val="008347EB"/>
    <w:rsid w:val="008411B9"/>
    <w:rsid w:val="00843C51"/>
    <w:rsid w:val="00844212"/>
    <w:rsid w:val="00845007"/>
    <w:rsid w:val="008451EC"/>
    <w:rsid w:val="00847ADB"/>
    <w:rsid w:val="008505B3"/>
    <w:rsid w:val="00853463"/>
    <w:rsid w:val="00853EFB"/>
    <w:rsid w:val="008619E5"/>
    <w:rsid w:val="00861BF4"/>
    <w:rsid w:val="0086555A"/>
    <w:rsid w:val="00865E19"/>
    <w:rsid w:val="008721EC"/>
    <w:rsid w:val="0087226A"/>
    <w:rsid w:val="008726EF"/>
    <w:rsid w:val="00872CDB"/>
    <w:rsid w:val="00874B17"/>
    <w:rsid w:val="00874C6B"/>
    <w:rsid w:val="0087739B"/>
    <w:rsid w:val="00877B5B"/>
    <w:rsid w:val="00880100"/>
    <w:rsid w:val="0088676B"/>
    <w:rsid w:val="00887D52"/>
    <w:rsid w:val="00887ECE"/>
    <w:rsid w:val="00893F25"/>
    <w:rsid w:val="00895035"/>
    <w:rsid w:val="008A5E3B"/>
    <w:rsid w:val="008B2B14"/>
    <w:rsid w:val="008B40BE"/>
    <w:rsid w:val="008B7799"/>
    <w:rsid w:val="008C1E5A"/>
    <w:rsid w:val="008C4B99"/>
    <w:rsid w:val="008C6AED"/>
    <w:rsid w:val="008C7604"/>
    <w:rsid w:val="008C7C40"/>
    <w:rsid w:val="008C7EBB"/>
    <w:rsid w:val="008D3175"/>
    <w:rsid w:val="008D7A2E"/>
    <w:rsid w:val="008E1B27"/>
    <w:rsid w:val="008E2F82"/>
    <w:rsid w:val="008E6BA8"/>
    <w:rsid w:val="0090301A"/>
    <w:rsid w:val="00903379"/>
    <w:rsid w:val="009060DE"/>
    <w:rsid w:val="00906975"/>
    <w:rsid w:val="00906FDD"/>
    <w:rsid w:val="00917F0B"/>
    <w:rsid w:val="00917F8B"/>
    <w:rsid w:val="0092087B"/>
    <w:rsid w:val="00920B6D"/>
    <w:rsid w:val="009252DB"/>
    <w:rsid w:val="009302B2"/>
    <w:rsid w:val="00934607"/>
    <w:rsid w:val="0093490B"/>
    <w:rsid w:val="00934FEF"/>
    <w:rsid w:val="00936ED2"/>
    <w:rsid w:val="0094103C"/>
    <w:rsid w:val="00943ACB"/>
    <w:rsid w:val="009447FE"/>
    <w:rsid w:val="00952C31"/>
    <w:rsid w:val="00960964"/>
    <w:rsid w:val="00961101"/>
    <w:rsid w:val="0096272E"/>
    <w:rsid w:val="009646B4"/>
    <w:rsid w:val="00965E4D"/>
    <w:rsid w:val="00980A29"/>
    <w:rsid w:val="00982EAC"/>
    <w:rsid w:val="009949C8"/>
    <w:rsid w:val="009957B2"/>
    <w:rsid w:val="00997601"/>
    <w:rsid w:val="009A0972"/>
    <w:rsid w:val="009A09A4"/>
    <w:rsid w:val="009A1511"/>
    <w:rsid w:val="009A23E9"/>
    <w:rsid w:val="009A4FAA"/>
    <w:rsid w:val="009B1D5C"/>
    <w:rsid w:val="009B5415"/>
    <w:rsid w:val="009B7DAF"/>
    <w:rsid w:val="009C2E31"/>
    <w:rsid w:val="009C5C25"/>
    <w:rsid w:val="009C5FE5"/>
    <w:rsid w:val="009C7151"/>
    <w:rsid w:val="009C7545"/>
    <w:rsid w:val="009D1A76"/>
    <w:rsid w:val="009D4EE7"/>
    <w:rsid w:val="009D743F"/>
    <w:rsid w:val="009E006E"/>
    <w:rsid w:val="009E1674"/>
    <w:rsid w:val="009E1955"/>
    <w:rsid w:val="009E5423"/>
    <w:rsid w:val="009E6DA3"/>
    <w:rsid w:val="009F320D"/>
    <w:rsid w:val="009F343D"/>
    <w:rsid w:val="009F367C"/>
    <w:rsid w:val="009F4CF4"/>
    <w:rsid w:val="00A01F55"/>
    <w:rsid w:val="00A03CFB"/>
    <w:rsid w:val="00A04CB6"/>
    <w:rsid w:val="00A05768"/>
    <w:rsid w:val="00A12180"/>
    <w:rsid w:val="00A131B6"/>
    <w:rsid w:val="00A13F4C"/>
    <w:rsid w:val="00A1628C"/>
    <w:rsid w:val="00A1719A"/>
    <w:rsid w:val="00A241A6"/>
    <w:rsid w:val="00A2786F"/>
    <w:rsid w:val="00A27B52"/>
    <w:rsid w:val="00A32A52"/>
    <w:rsid w:val="00A365AF"/>
    <w:rsid w:val="00A40025"/>
    <w:rsid w:val="00A421CE"/>
    <w:rsid w:val="00A42B2F"/>
    <w:rsid w:val="00A4517F"/>
    <w:rsid w:val="00A462AA"/>
    <w:rsid w:val="00A527AA"/>
    <w:rsid w:val="00A52840"/>
    <w:rsid w:val="00A55F56"/>
    <w:rsid w:val="00A56013"/>
    <w:rsid w:val="00A5684D"/>
    <w:rsid w:val="00A66A07"/>
    <w:rsid w:val="00A72614"/>
    <w:rsid w:val="00A75C61"/>
    <w:rsid w:val="00A85318"/>
    <w:rsid w:val="00A904BD"/>
    <w:rsid w:val="00A916F9"/>
    <w:rsid w:val="00A95E2D"/>
    <w:rsid w:val="00A9601B"/>
    <w:rsid w:val="00AA0FDC"/>
    <w:rsid w:val="00AA1CF3"/>
    <w:rsid w:val="00AB0320"/>
    <w:rsid w:val="00AB2D6F"/>
    <w:rsid w:val="00AB3262"/>
    <w:rsid w:val="00AB3E40"/>
    <w:rsid w:val="00AB6B6C"/>
    <w:rsid w:val="00AB7B11"/>
    <w:rsid w:val="00AC0AE2"/>
    <w:rsid w:val="00AC1163"/>
    <w:rsid w:val="00AC14DC"/>
    <w:rsid w:val="00AC5FBF"/>
    <w:rsid w:val="00AD100E"/>
    <w:rsid w:val="00AD1634"/>
    <w:rsid w:val="00AD2139"/>
    <w:rsid w:val="00AD5ADE"/>
    <w:rsid w:val="00AD60E8"/>
    <w:rsid w:val="00AE1E36"/>
    <w:rsid w:val="00AE25EB"/>
    <w:rsid w:val="00AE37C2"/>
    <w:rsid w:val="00AE38E6"/>
    <w:rsid w:val="00AE7A84"/>
    <w:rsid w:val="00AF34EC"/>
    <w:rsid w:val="00AF74AA"/>
    <w:rsid w:val="00B00F99"/>
    <w:rsid w:val="00B03C2F"/>
    <w:rsid w:val="00B12F67"/>
    <w:rsid w:val="00B15064"/>
    <w:rsid w:val="00B15B87"/>
    <w:rsid w:val="00B205B6"/>
    <w:rsid w:val="00B244FC"/>
    <w:rsid w:val="00B25B86"/>
    <w:rsid w:val="00B26326"/>
    <w:rsid w:val="00B3218D"/>
    <w:rsid w:val="00B340A3"/>
    <w:rsid w:val="00B36F5E"/>
    <w:rsid w:val="00B410F5"/>
    <w:rsid w:val="00B418D2"/>
    <w:rsid w:val="00B422C2"/>
    <w:rsid w:val="00B4249A"/>
    <w:rsid w:val="00B438AC"/>
    <w:rsid w:val="00B43A22"/>
    <w:rsid w:val="00B4557D"/>
    <w:rsid w:val="00B45F66"/>
    <w:rsid w:val="00B46B23"/>
    <w:rsid w:val="00B51A6E"/>
    <w:rsid w:val="00B5244D"/>
    <w:rsid w:val="00B6280C"/>
    <w:rsid w:val="00B63AF1"/>
    <w:rsid w:val="00B63BA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84ECE"/>
    <w:rsid w:val="00B85B00"/>
    <w:rsid w:val="00B90CF3"/>
    <w:rsid w:val="00B92BAD"/>
    <w:rsid w:val="00BA02F1"/>
    <w:rsid w:val="00BA051D"/>
    <w:rsid w:val="00BA378F"/>
    <w:rsid w:val="00BA4100"/>
    <w:rsid w:val="00BA502E"/>
    <w:rsid w:val="00BB1A85"/>
    <w:rsid w:val="00BB32EC"/>
    <w:rsid w:val="00BB4C04"/>
    <w:rsid w:val="00BB7F0D"/>
    <w:rsid w:val="00BC33C3"/>
    <w:rsid w:val="00BC3BC2"/>
    <w:rsid w:val="00BD1383"/>
    <w:rsid w:val="00BD1448"/>
    <w:rsid w:val="00BD1EBF"/>
    <w:rsid w:val="00BE2747"/>
    <w:rsid w:val="00BE38F0"/>
    <w:rsid w:val="00BE56B0"/>
    <w:rsid w:val="00BE5835"/>
    <w:rsid w:val="00BE75D7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B40"/>
    <w:rsid w:val="00C11B5D"/>
    <w:rsid w:val="00C1200C"/>
    <w:rsid w:val="00C13878"/>
    <w:rsid w:val="00C1396D"/>
    <w:rsid w:val="00C14003"/>
    <w:rsid w:val="00C15EEB"/>
    <w:rsid w:val="00C174F2"/>
    <w:rsid w:val="00C22A1D"/>
    <w:rsid w:val="00C24F15"/>
    <w:rsid w:val="00C266DE"/>
    <w:rsid w:val="00C319B8"/>
    <w:rsid w:val="00C34424"/>
    <w:rsid w:val="00C40176"/>
    <w:rsid w:val="00C443A7"/>
    <w:rsid w:val="00C5221B"/>
    <w:rsid w:val="00C57820"/>
    <w:rsid w:val="00C654F5"/>
    <w:rsid w:val="00C7033E"/>
    <w:rsid w:val="00C71C22"/>
    <w:rsid w:val="00C83D04"/>
    <w:rsid w:val="00C83F82"/>
    <w:rsid w:val="00C87C3D"/>
    <w:rsid w:val="00C90F4E"/>
    <w:rsid w:val="00C9279F"/>
    <w:rsid w:val="00CA06BA"/>
    <w:rsid w:val="00CA072D"/>
    <w:rsid w:val="00CA1058"/>
    <w:rsid w:val="00CA1705"/>
    <w:rsid w:val="00CA4576"/>
    <w:rsid w:val="00CA47A1"/>
    <w:rsid w:val="00CB144E"/>
    <w:rsid w:val="00CB18AC"/>
    <w:rsid w:val="00CB523D"/>
    <w:rsid w:val="00CB5474"/>
    <w:rsid w:val="00CD4395"/>
    <w:rsid w:val="00CD57EA"/>
    <w:rsid w:val="00CD7C1E"/>
    <w:rsid w:val="00CE1A54"/>
    <w:rsid w:val="00CE7593"/>
    <w:rsid w:val="00CF5FB6"/>
    <w:rsid w:val="00CF69A2"/>
    <w:rsid w:val="00D02439"/>
    <w:rsid w:val="00D02518"/>
    <w:rsid w:val="00D03BC3"/>
    <w:rsid w:val="00D04B86"/>
    <w:rsid w:val="00D05F10"/>
    <w:rsid w:val="00D0742A"/>
    <w:rsid w:val="00D10C75"/>
    <w:rsid w:val="00D1305B"/>
    <w:rsid w:val="00D15EDE"/>
    <w:rsid w:val="00D17454"/>
    <w:rsid w:val="00D203DC"/>
    <w:rsid w:val="00D209C3"/>
    <w:rsid w:val="00D2109D"/>
    <w:rsid w:val="00D23D12"/>
    <w:rsid w:val="00D33FBC"/>
    <w:rsid w:val="00D37762"/>
    <w:rsid w:val="00D37CC6"/>
    <w:rsid w:val="00D41E57"/>
    <w:rsid w:val="00D44454"/>
    <w:rsid w:val="00D5246E"/>
    <w:rsid w:val="00D54D72"/>
    <w:rsid w:val="00D5600E"/>
    <w:rsid w:val="00D61212"/>
    <w:rsid w:val="00D67E38"/>
    <w:rsid w:val="00D72F95"/>
    <w:rsid w:val="00D734FE"/>
    <w:rsid w:val="00D7535C"/>
    <w:rsid w:val="00D76302"/>
    <w:rsid w:val="00D76540"/>
    <w:rsid w:val="00D76F36"/>
    <w:rsid w:val="00D7799D"/>
    <w:rsid w:val="00D84D4F"/>
    <w:rsid w:val="00D84F13"/>
    <w:rsid w:val="00D92635"/>
    <w:rsid w:val="00D94748"/>
    <w:rsid w:val="00D95F51"/>
    <w:rsid w:val="00DA5CE2"/>
    <w:rsid w:val="00DA7208"/>
    <w:rsid w:val="00DB294E"/>
    <w:rsid w:val="00DB2B95"/>
    <w:rsid w:val="00DB3250"/>
    <w:rsid w:val="00DB7CFA"/>
    <w:rsid w:val="00DC28D7"/>
    <w:rsid w:val="00DC6496"/>
    <w:rsid w:val="00DD04A7"/>
    <w:rsid w:val="00DD22C1"/>
    <w:rsid w:val="00DD3AD1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D13"/>
    <w:rsid w:val="00DF3E17"/>
    <w:rsid w:val="00DF3FB0"/>
    <w:rsid w:val="00E01A7E"/>
    <w:rsid w:val="00E01B9C"/>
    <w:rsid w:val="00E02A99"/>
    <w:rsid w:val="00E03FA0"/>
    <w:rsid w:val="00E046A3"/>
    <w:rsid w:val="00E14FBC"/>
    <w:rsid w:val="00E15401"/>
    <w:rsid w:val="00E16FDA"/>
    <w:rsid w:val="00E205D0"/>
    <w:rsid w:val="00E20FE1"/>
    <w:rsid w:val="00E22E3D"/>
    <w:rsid w:val="00E24874"/>
    <w:rsid w:val="00E34C63"/>
    <w:rsid w:val="00E35F58"/>
    <w:rsid w:val="00E45BD9"/>
    <w:rsid w:val="00E57A94"/>
    <w:rsid w:val="00E57E7C"/>
    <w:rsid w:val="00E6106E"/>
    <w:rsid w:val="00E64359"/>
    <w:rsid w:val="00E66FFC"/>
    <w:rsid w:val="00E741E6"/>
    <w:rsid w:val="00E759D6"/>
    <w:rsid w:val="00E76580"/>
    <w:rsid w:val="00E76C60"/>
    <w:rsid w:val="00E83E18"/>
    <w:rsid w:val="00E84A8C"/>
    <w:rsid w:val="00E900EF"/>
    <w:rsid w:val="00E90811"/>
    <w:rsid w:val="00E91D59"/>
    <w:rsid w:val="00E94FAC"/>
    <w:rsid w:val="00E95502"/>
    <w:rsid w:val="00E95EB3"/>
    <w:rsid w:val="00E976DE"/>
    <w:rsid w:val="00EA12AF"/>
    <w:rsid w:val="00EB082C"/>
    <w:rsid w:val="00EB305A"/>
    <w:rsid w:val="00EB3097"/>
    <w:rsid w:val="00EB38F4"/>
    <w:rsid w:val="00EB5B95"/>
    <w:rsid w:val="00EC0735"/>
    <w:rsid w:val="00EC0F83"/>
    <w:rsid w:val="00EC4B7A"/>
    <w:rsid w:val="00EC5013"/>
    <w:rsid w:val="00EC6DB5"/>
    <w:rsid w:val="00EC7A53"/>
    <w:rsid w:val="00ED0429"/>
    <w:rsid w:val="00ED18F7"/>
    <w:rsid w:val="00ED1F20"/>
    <w:rsid w:val="00ED3BC1"/>
    <w:rsid w:val="00EE2AB0"/>
    <w:rsid w:val="00EE3187"/>
    <w:rsid w:val="00EE3D57"/>
    <w:rsid w:val="00EE4C7A"/>
    <w:rsid w:val="00EE606A"/>
    <w:rsid w:val="00EF11F5"/>
    <w:rsid w:val="00EF499B"/>
    <w:rsid w:val="00F01E3E"/>
    <w:rsid w:val="00F04511"/>
    <w:rsid w:val="00F05F54"/>
    <w:rsid w:val="00F14977"/>
    <w:rsid w:val="00F21ED4"/>
    <w:rsid w:val="00F2254C"/>
    <w:rsid w:val="00F460B8"/>
    <w:rsid w:val="00F50342"/>
    <w:rsid w:val="00F521C0"/>
    <w:rsid w:val="00F52357"/>
    <w:rsid w:val="00F542E0"/>
    <w:rsid w:val="00F5537C"/>
    <w:rsid w:val="00F553F0"/>
    <w:rsid w:val="00F609C4"/>
    <w:rsid w:val="00F6323E"/>
    <w:rsid w:val="00F652C8"/>
    <w:rsid w:val="00F7795C"/>
    <w:rsid w:val="00F80FB5"/>
    <w:rsid w:val="00F842CC"/>
    <w:rsid w:val="00F863A2"/>
    <w:rsid w:val="00F928B1"/>
    <w:rsid w:val="00F94BF6"/>
    <w:rsid w:val="00FA4F1C"/>
    <w:rsid w:val="00FA5EE8"/>
    <w:rsid w:val="00FB055C"/>
    <w:rsid w:val="00FB3750"/>
    <w:rsid w:val="00FB4A08"/>
    <w:rsid w:val="00FB68F0"/>
    <w:rsid w:val="00FC0C2A"/>
    <w:rsid w:val="00FC4408"/>
    <w:rsid w:val="00FC6B7D"/>
    <w:rsid w:val="00FD226A"/>
    <w:rsid w:val="00FD4B6F"/>
    <w:rsid w:val="00FD7F8E"/>
    <w:rsid w:val="00FE3B70"/>
    <w:rsid w:val="00FF03B2"/>
    <w:rsid w:val="00FF0E6D"/>
    <w:rsid w:val="00FF11E4"/>
    <w:rsid w:val="00FF340D"/>
    <w:rsid w:val="00FF77A7"/>
    <w:rsid w:val="03CD0E11"/>
    <w:rsid w:val="04B072D4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BAB04D2"/>
    <w:rsid w:val="2BC4020A"/>
    <w:rsid w:val="2EF90F16"/>
    <w:rsid w:val="2F125C63"/>
    <w:rsid w:val="302C3D0A"/>
    <w:rsid w:val="30787AB3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80D4286"/>
    <w:rsid w:val="58AE3000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B5653"/>
    <w:rsid w:val="788C25F5"/>
    <w:rsid w:val="79F72AA9"/>
    <w:rsid w:val="7A144529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D0F13"/>
  <w15:docId w15:val="{9876BFA8-B6E7-49FA-A08A-FD3084E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f2">
    <w:name w:val="Revision"/>
    <w:hidden/>
    <w:uiPriority w:val="99"/>
    <w:semiHidden/>
    <w:rsid w:val="004128BA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C9B9-D036-4542-AF2A-30D1E33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韦治池</cp:lastModifiedBy>
  <cp:revision>158</cp:revision>
  <dcterms:created xsi:type="dcterms:W3CDTF">2024-11-01T11:44:00Z</dcterms:created>
  <dcterms:modified xsi:type="dcterms:W3CDTF">2024-11-04T07:09:00Z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2785F0FEA11643789DF08207673F6E06_13</vt:lpwstr>
  </property>
</Properties>
</file>