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1" w:line="219" w:lineRule="auto"/>
        <w:ind w:left="23"/>
        <w:rPr>
          <w:rFonts w:hint="default" w:ascii="Arial Narrow" w:hAnsi="Arial Narrow" w:eastAsia="宋体" w:cs="宋体"/>
          <w:sz w:val="24"/>
          <w:szCs w:val="24"/>
          <w:lang w:val="en-US" w:eastAsia="zh-CN"/>
        </w:rPr>
      </w:pPr>
      <w:r>
        <w:rPr>
          <w:rFonts w:ascii="Arial Narrow" w:hAnsi="Arial Narrow" w:eastAsia="宋体" w:cs="宋体"/>
          <w:sz w:val="24"/>
          <w:szCs w:val="24"/>
          <w:lang w:eastAsia="zh-CN"/>
        </w:rPr>
        <w:t>证券代码：60</w:t>
      </w:r>
      <w:r>
        <w:rPr>
          <w:rFonts w:hint="eastAsia" w:ascii="Arial Narrow" w:hAnsi="Arial Narrow" w:eastAsia="宋体" w:cs="宋体"/>
          <w:sz w:val="24"/>
          <w:szCs w:val="24"/>
          <w:lang w:eastAsia="zh-CN"/>
        </w:rPr>
        <w:t>0438</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val="en-US" w:eastAsia="zh-CN"/>
        </w:rPr>
        <w:t xml:space="preserve">       </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val="en-US" w:eastAsia="zh-CN"/>
        </w:rPr>
        <w:t xml:space="preserve"> </w:t>
      </w:r>
      <w:r>
        <w:rPr>
          <w:rFonts w:ascii="Arial Narrow" w:hAnsi="Arial Narrow" w:eastAsia="宋体" w:cs="宋体"/>
          <w:sz w:val="24"/>
          <w:szCs w:val="24"/>
          <w:lang w:eastAsia="zh-CN"/>
        </w:rPr>
        <w:t xml:space="preserve">     </w:t>
      </w:r>
      <w:r>
        <w:rPr>
          <w:rFonts w:ascii="Arial Narrow" w:hAnsi="Arial Narrow" w:eastAsia="宋体" w:cs="宋体"/>
          <w:spacing w:val="-1"/>
          <w:sz w:val="24"/>
          <w:szCs w:val="24"/>
          <w:lang w:eastAsia="zh-CN"/>
        </w:rPr>
        <w:t>证券简称：</w:t>
      </w:r>
      <w:r>
        <w:rPr>
          <w:rFonts w:hint="eastAsia" w:ascii="Arial Narrow" w:hAnsi="Arial Narrow" w:eastAsia="宋体" w:cs="宋体"/>
          <w:spacing w:val="-1"/>
          <w:sz w:val="24"/>
          <w:szCs w:val="24"/>
          <w:lang w:eastAsia="zh-CN"/>
        </w:rPr>
        <w:t>通威股份</w:t>
      </w:r>
      <w:r>
        <w:rPr>
          <w:rFonts w:hint="eastAsia" w:ascii="Arial Narrow" w:hAnsi="Arial Narrow" w:eastAsia="宋体" w:cs="宋体"/>
          <w:spacing w:val="-1"/>
          <w:sz w:val="24"/>
          <w:szCs w:val="24"/>
          <w:lang w:val="en-US" w:eastAsia="zh-CN"/>
        </w:rPr>
        <w:t xml:space="preserve">                          编号：2024-08</w:t>
      </w:r>
    </w:p>
    <w:p>
      <w:pPr>
        <w:keepNext w:val="0"/>
        <w:keepLines w:val="0"/>
        <w:pageBreakBefore w:val="0"/>
        <w:widowControl/>
        <w:kinsoku w:val="0"/>
        <w:wordWrap/>
        <w:overflowPunct/>
        <w:topLinePunct w:val="0"/>
        <w:autoSpaceDE w:val="0"/>
        <w:autoSpaceDN w:val="0"/>
        <w:bidi w:val="0"/>
        <w:adjustRightInd w:val="0"/>
        <w:snapToGrid w:val="0"/>
        <w:spacing w:before="0" w:beforeLines="200" w:line="360" w:lineRule="auto"/>
        <w:ind w:left="0" w:right="0" w:firstLine="0"/>
        <w:jc w:val="center"/>
        <w:textAlignment w:val="baseline"/>
        <w:outlineLvl w:val="0"/>
        <w:rPr>
          <w:rFonts w:ascii="Arial Narrow" w:hAnsi="Arial Narrow" w:eastAsia="宋体" w:cs="宋体"/>
          <w:spacing w:val="3"/>
          <w:sz w:val="32"/>
          <w:szCs w:val="32"/>
          <w:lang w:eastAsia="zh-CN"/>
        </w:rPr>
      </w:pPr>
      <w:r>
        <w:rPr>
          <w:rFonts w:hint="eastAsia" w:ascii="Arial Narrow" w:hAnsi="Arial Narrow" w:eastAsia="宋体" w:cs="宋体"/>
          <w:b/>
          <w:bCs/>
          <w:spacing w:val="-4"/>
          <w:sz w:val="32"/>
          <w:szCs w:val="32"/>
          <w:lang w:eastAsia="zh-CN"/>
        </w:rPr>
        <w:t>通威股份</w:t>
      </w:r>
      <w:r>
        <w:rPr>
          <w:rFonts w:ascii="Arial Narrow" w:hAnsi="Arial Narrow" w:eastAsia="宋体" w:cs="宋体"/>
          <w:b/>
          <w:bCs/>
          <w:spacing w:val="-4"/>
          <w:sz w:val="32"/>
          <w:szCs w:val="32"/>
          <w:lang w:eastAsia="zh-CN"/>
        </w:rPr>
        <w:t>股份有限公司</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center"/>
        <w:textAlignment w:val="baseline"/>
        <w:outlineLvl w:val="0"/>
        <w:rPr>
          <w:rFonts w:ascii="Arial Narrow" w:hAnsi="Arial Narrow" w:eastAsia="宋体" w:cs="宋体"/>
          <w:sz w:val="32"/>
          <w:szCs w:val="32"/>
          <w:lang w:eastAsia="zh-CN"/>
        </w:rPr>
      </w:pPr>
      <w:r>
        <w:rPr>
          <w:rFonts w:ascii="Arial Narrow" w:hAnsi="Arial Narrow" w:eastAsia="宋体" w:cs="宋体"/>
          <w:b/>
          <w:bCs/>
          <w:spacing w:val="-3"/>
          <w:sz w:val="32"/>
          <w:szCs w:val="32"/>
          <w:lang w:eastAsia="zh-CN"/>
        </w:rPr>
        <w:t>投资者关系活动记录表</w:t>
      </w:r>
      <w:bookmarkStart w:id="0" w:name="_GoBack"/>
      <w:bookmarkEnd w:id="0"/>
    </w:p>
    <w:p>
      <w:pPr>
        <w:spacing w:line="69" w:lineRule="exact"/>
        <w:rPr>
          <w:lang w:eastAsia="zh-CN"/>
        </w:rPr>
      </w:pPr>
    </w:p>
    <w:tbl>
      <w:tblPr>
        <w:tblStyle w:val="6"/>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37"/>
        <w:gridCol w:w="3351"/>
        <w:gridCol w:w="34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918" w:type="pct"/>
            <w:vAlign w:val="center"/>
          </w:tcPr>
          <w:p>
            <w:pPr>
              <w:pStyle w:val="7"/>
              <w:keepNext w:val="0"/>
              <w:keepLines w:val="0"/>
              <w:pageBreakBefore w:val="0"/>
              <w:widowControl/>
              <w:kinsoku w:val="0"/>
              <w:wordWrap/>
              <w:overflowPunct/>
              <w:topLinePunct w:val="0"/>
              <w:autoSpaceDE w:val="0"/>
              <w:autoSpaceDN w:val="0"/>
              <w:bidi w:val="0"/>
              <w:adjustRightInd w:val="0"/>
              <w:snapToGrid w:val="0"/>
              <w:spacing w:before="78" w:line="347" w:lineRule="auto"/>
              <w:ind w:left="105" w:leftChars="50" w:right="105" w:rightChars="50" w:firstLine="1"/>
              <w:jc w:val="left"/>
              <w:textAlignment w:val="baseline"/>
            </w:pPr>
            <w:r>
              <w:rPr>
                <w:spacing w:val="27"/>
                <w:lang w:eastAsia="zh-CN"/>
              </w:rPr>
              <w:t>投资者关系活动类别</w:t>
            </w:r>
          </w:p>
        </w:tc>
        <w:tc>
          <w:tcPr>
            <w:tcW w:w="2000" w:type="pct"/>
            <w:tcBorders>
              <w:right w:val="nil"/>
            </w:tcBorders>
          </w:tcPr>
          <w:p>
            <w:pPr>
              <w:pStyle w:val="7"/>
              <w:spacing w:before="117" w:line="220" w:lineRule="auto"/>
              <w:ind w:left="137"/>
              <w:rPr>
                <w:lang w:eastAsia="zh-CN"/>
              </w:rPr>
            </w:pPr>
            <w:r>
              <w:rPr>
                <w:rFonts w:hint="eastAsia"/>
                <w:spacing w:val="-5"/>
                <w:lang w:val="en-US" w:eastAsia="zh-CN"/>
              </w:rPr>
              <w:t>☑</w:t>
            </w:r>
            <w:r>
              <w:rPr>
                <w:spacing w:val="-5"/>
                <w:lang w:eastAsia="zh-CN"/>
              </w:rPr>
              <w:t>特定对象调研</w:t>
            </w:r>
          </w:p>
          <w:p>
            <w:pPr>
              <w:pStyle w:val="7"/>
              <w:spacing w:before="182" w:line="219" w:lineRule="auto"/>
              <w:ind w:left="137"/>
              <w:rPr>
                <w:lang w:eastAsia="zh-CN"/>
              </w:rPr>
            </w:pPr>
            <w:r>
              <w:rPr>
                <w:spacing w:val="-6"/>
                <w:lang w:eastAsia="zh-CN"/>
              </w:rPr>
              <w:t>□媒体采访</w:t>
            </w:r>
          </w:p>
          <w:p>
            <w:pPr>
              <w:pStyle w:val="7"/>
              <w:spacing w:before="183" w:line="219" w:lineRule="auto"/>
              <w:ind w:left="137"/>
              <w:rPr>
                <w:lang w:eastAsia="zh-CN"/>
              </w:rPr>
            </w:pPr>
            <w:r>
              <w:rPr>
                <w:spacing w:val="-5"/>
                <w:lang w:eastAsia="zh-CN"/>
              </w:rPr>
              <w:t>□新闻发布会</w:t>
            </w:r>
          </w:p>
          <w:p>
            <w:pPr>
              <w:pStyle w:val="7"/>
              <w:spacing w:before="183" w:line="220" w:lineRule="auto"/>
              <w:ind w:left="137"/>
              <w:rPr>
                <w:lang w:eastAsia="zh-CN"/>
              </w:rPr>
            </w:pPr>
            <w:r>
              <w:rPr>
                <w:rFonts w:hint="eastAsia"/>
                <w:spacing w:val="-5"/>
                <w:lang w:eastAsia="zh-CN"/>
              </w:rPr>
              <w:t>□</w:t>
            </w:r>
            <w:r>
              <w:rPr>
                <w:spacing w:val="-6"/>
                <w:lang w:eastAsia="zh-CN"/>
              </w:rPr>
              <w:t>现场参观</w:t>
            </w:r>
          </w:p>
          <w:p>
            <w:pPr>
              <w:pStyle w:val="7"/>
              <w:spacing w:before="182" w:line="220" w:lineRule="auto"/>
              <w:ind w:left="137"/>
              <w:rPr>
                <w:lang w:eastAsia="zh-CN"/>
              </w:rPr>
            </w:pPr>
            <w:r>
              <w:rPr>
                <w:rFonts w:hint="eastAsia"/>
                <w:spacing w:val="-5"/>
                <w:lang w:eastAsia="zh-CN"/>
              </w:rPr>
              <w:t>☑</w:t>
            </w:r>
            <w:r>
              <w:rPr>
                <w:spacing w:val="-12"/>
                <w:lang w:eastAsia="zh-CN"/>
              </w:rPr>
              <w:t>其他</w:t>
            </w:r>
            <w:r>
              <w:rPr>
                <w:rFonts w:hint="eastAsia"/>
                <w:u w:val="single"/>
                <w:lang w:eastAsia="zh-CN"/>
              </w:rPr>
              <w:t xml:space="preserve">  线上会议  </w:t>
            </w:r>
          </w:p>
        </w:tc>
        <w:tc>
          <w:tcPr>
            <w:tcW w:w="2081" w:type="pct"/>
            <w:tcBorders>
              <w:left w:val="nil"/>
            </w:tcBorders>
          </w:tcPr>
          <w:p>
            <w:pPr>
              <w:pStyle w:val="7"/>
              <w:spacing w:before="117" w:line="219" w:lineRule="auto"/>
              <w:ind w:left="197"/>
              <w:rPr>
                <w:lang w:eastAsia="zh-CN"/>
              </w:rPr>
            </w:pPr>
            <w:r>
              <w:rPr>
                <w:rFonts w:hint="eastAsia"/>
                <w:spacing w:val="-5"/>
                <w:lang w:eastAsia="zh-CN"/>
              </w:rPr>
              <w:t>☑</w:t>
            </w:r>
            <w:r>
              <w:rPr>
                <w:spacing w:val="-5"/>
                <w:lang w:eastAsia="zh-CN"/>
              </w:rPr>
              <w:t>分析师会议</w:t>
            </w:r>
          </w:p>
          <w:p>
            <w:pPr>
              <w:pStyle w:val="7"/>
              <w:spacing w:before="183" w:line="219" w:lineRule="auto"/>
              <w:ind w:left="197"/>
              <w:rPr>
                <w:lang w:eastAsia="zh-CN"/>
              </w:rPr>
            </w:pPr>
            <w:r>
              <w:rPr>
                <w:rFonts w:hint="eastAsia"/>
                <w:spacing w:val="-5"/>
                <w:lang w:eastAsia="zh-CN"/>
              </w:rPr>
              <w:t>☑</w:t>
            </w:r>
            <w:r>
              <w:rPr>
                <w:spacing w:val="-6"/>
                <w:lang w:eastAsia="zh-CN"/>
              </w:rPr>
              <w:t>业绩说明会</w:t>
            </w:r>
          </w:p>
          <w:p>
            <w:pPr>
              <w:pStyle w:val="7"/>
              <w:spacing w:before="182" w:line="220" w:lineRule="auto"/>
              <w:ind w:left="197"/>
            </w:pPr>
            <w:r>
              <w:rPr>
                <w:rFonts w:hint="eastAsia"/>
                <w:spacing w:val="-6"/>
                <w:lang w:eastAsia="zh-CN"/>
              </w:rPr>
              <w:t>□</w:t>
            </w:r>
            <w:r>
              <w:rPr>
                <w:spacing w:val="-6"/>
              </w:rPr>
              <w:t>路演活动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918" w:type="pct"/>
            <w:vAlign w:val="center"/>
          </w:tcPr>
          <w:p>
            <w:pPr>
              <w:pStyle w:val="7"/>
              <w:keepNext w:val="0"/>
              <w:keepLines w:val="0"/>
              <w:pageBreakBefore w:val="0"/>
              <w:widowControl/>
              <w:kinsoku w:val="0"/>
              <w:wordWrap/>
              <w:overflowPunct/>
              <w:topLinePunct w:val="0"/>
              <w:autoSpaceDE w:val="0"/>
              <w:autoSpaceDN w:val="0"/>
              <w:bidi w:val="0"/>
              <w:adjustRightInd w:val="0"/>
              <w:snapToGrid w:val="0"/>
              <w:spacing w:before="78" w:line="347" w:lineRule="auto"/>
              <w:ind w:left="105" w:leftChars="50" w:right="105" w:rightChars="50" w:firstLine="2"/>
              <w:jc w:val="left"/>
              <w:textAlignment w:val="baseline"/>
              <w:rPr>
                <w:lang w:eastAsia="zh-CN"/>
              </w:rPr>
            </w:pPr>
            <w:r>
              <w:rPr>
                <w:spacing w:val="27"/>
                <w:lang w:eastAsia="zh-CN"/>
              </w:rPr>
              <w:t>参与单位名称及人员姓名</w:t>
            </w:r>
          </w:p>
        </w:tc>
        <w:tc>
          <w:tcPr>
            <w:tcW w:w="4081" w:type="pct"/>
            <w:gridSpan w:val="2"/>
            <w:vAlign w:val="center"/>
          </w:tcPr>
          <w:p>
            <w:pPr>
              <w:pStyle w:val="7"/>
              <w:numPr>
                <w:ilvl w:val="0"/>
                <w:numId w:val="1"/>
              </w:numPr>
              <w:spacing w:before="109" w:line="345" w:lineRule="auto"/>
              <w:ind w:right="23"/>
              <w:jc w:val="both"/>
              <w:rPr>
                <w:b/>
                <w:bCs/>
                <w:lang w:eastAsia="zh-CN"/>
              </w:rPr>
            </w:pPr>
            <w:r>
              <w:rPr>
                <w:rFonts w:hint="eastAsia"/>
                <w:b/>
                <w:bCs/>
                <w:spacing w:val="-2"/>
                <w:lang w:eastAsia="zh-CN"/>
              </w:rPr>
              <w:t>现场调研</w:t>
            </w:r>
          </w:p>
          <w:p>
            <w:pPr>
              <w:pStyle w:val="7"/>
              <w:keepNext w:val="0"/>
              <w:keepLines w:val="0"/>
              <w:pageBreakBefore w:val="0"/>
              <w:widowControl/>
              <w:kinsoku w:val="0"/>
              <w:wordWrap/>
              <w:overflowPunct/>
              <w:topLinePunct w:val="0"/>
              <w:autoSpaceDE w:val="0"/>
              <w:autoSpaceDN w:val="0"/>
              <w:bidi w:val="0"/>
              <w:adjustRightInd w:val="0"/>
              <w:snapToGrid w:val="0"/>
              <w:spacing w:before="109" w:line="276" w:lineRule="auto"/>
              <w:ind w:left="136" w:right="23" w:firstLine="480" w:firstLineChars="200"/>
              <w:jc w:val="both"/>
              <w:textAlignment w:val="baseline"/>
              <w:rPr>
                <w:lang w:eastAsia="zh-CN"/>
              </w:rPr>
            </w:pPr>
            <w:r>
              <w:rPr>
                <w:rFonts w:hint="eastAsia"/>
                <w:lang w:eastAsia="zh-CN"/>
              </w:rPr>
              <w:t>本</w:t>
            </w:r>
            <w:r>
              <w:rPr>
                <w:rFonts w:hint="eastAsia"/>
                <w:lang w:val="en-US" w:eastAsia="zh-CN"/>
              </w:rPr>
              <w:t>期</w:t>
            </w:r>
            <w:r>
              <w:rPr>
                <w:rFonts w:hint="eastAsia"/>
                <w:lang w:eastAsia="zh-CN"/>
              </w:rPr>
              <w:t>公司在成都总部接待的机构有</w:t>
            </w:r>
            <w:r>
              <w:rPr>
                <w:rFonts w:hint="eastAsia"/>
                <w:lang w:val="en-US" w:eastAsia="zh-CN"/>
              </w:rPr>
              <w:t>泰康资产、兴业证券、西南证券、富国基金</w:t>
            </w:r>
            <w:r>
              <w:rPr>
                <w:rFonts w:hint="eastAsia"/>
                <w:lang w:eastAsia="zh-CN"/>
              </w:rPr>
              <w:t>等。</w:t>
            </w:r>
          </w:p>
          <w:p>
            <w:pPr>
              <w:pStyle w:val="7"/>
              <w:numPr>
                <w:ilvl w:val="0"/>
                <w:numId w:val="1"/>
              </w:numPr>
              <w:spacing w:before="109" w:line="345" w:lineRule="auto"/>
              <w:ind w:right="23"/>
              <w:jc w:val="both"/>
              <w:rPr>
                <w:b/>
                <w:bCs/>
                <w:lang w:eastAsia="zh-CN"/>
              </w:rPr>
            </w:pPr>
            <w:r>
              <w:rPr>
                <w:rFonts w:hint="eastAsia"/>
                <w:b/>
                <w:bCs/>
                <w:spacing w:val="-2"/>
                <w:lang w:eastAsia="zh-CN"/>
              </w:rPr>
              <w:t>线上会议</w:t>
            </w:r>
          </w:p>
          <w:p>
            <w:pPr>
              <w:pStyle w:val="7"/>
              <w:keepNext w:val="0"/>
              <w:keepLines w:val="0"/>
              <w:pageBreakBefore w:val="0"/>
              <w:widowControl/>
              <w:kinsoku w:val="0"/>
              <w:wordWrap/>
              <w:overflowPunct/>
              <w:topLinePunct w:val="0"/>
              <w:autoSpaceDE w:val="0"/>
              <w:autoSpaceDN w:val="0"/>
              <w:bidi w:val="0"/>
              <w:adjustRightInd w:val="0"/>
              <w:snapToGrid w:val="0"/>
              <w:spacing w:before="109" w:line="276" w:lineRule="auto"/>
              <w:ind w:left="136" w:right="23" w:firstLine="480" w:firstLineChars="200"/>
              <w:jc w:val="both"/>
              <w:textAlignment w:val="baseline"/>
              <w:rPr>
                <w:lang w:eastAsia="zh-CN"/>
              </w:rPr>
            </w:pPr>
            <w:r>
              <w:rPr>
                <w:rFonts w:hint="eastAsia"/>
                <w:lang w:eastAsia="zh-CN"/>
              </w:rPr>
              <w:t>本</w:t>
            </w:r>
            <w:r>
              <w:rPr>
                <w:rFonts w:hint="eastAsia"/>
                <w:lang w:val="en-US" w:eastAsia="zh-CN"/>
              </w:rPr>
              <w:t>期</w:t>
            </w:r>
            <w:r>
              <w:rPr>
                <w:rFonts w:hint="eastAsia"/>
                <w:lang w:eastAsia="zh-CN"/>
              </w:rPr>
              <w:t>公司与</w:t>
            </w:r>
            <w:r>
              <w:rPr>
                <w:rFonts w:hint="eastAsia"/>
                <w:lang w:val="en-US" w:eastAsia="zh-CN"/>
              </w:rPr>
              <w:t>招商基金、大和证券、中信建投证券、摩根基金、Eastspring</w:t>
            </w:r>
            <w:r>
              <w:rPr>
                <w:rFonts w:hint="eastAsia"/>
                <w:lang w:eastAsia="zh-CN"/>
              </w:rPr>
              <w:t>等机构进行了线上交流。</w:t>
            </w:r>
          </w:p>
          <w:p>
            <w:pPr>
              <w:pStyle w:val="7"/>
              <w:numPr>
                <w:ilvl w:val="0"/>
                <w:numId w:val="1"/>
              </w:numPr>
              <w:spacing w:before="109" w:line="345" w:lineRule="auto"/>
              <w:ind w:right="23"/>
              <w:jc w:val="both"/>
              <w:rPr>
                <w:rFonts w:hint="eastAsia"/>
                <w:b/>
                <w:bCs/>
                <w:spacing w:val="-2"/>
                <w:lang w:val="en-US" w:eastAsia="zh-CN"/>
              </w:rPr>
            </w:pPr>
            <w:r>
              <w:rPr>
                <w:rFonts w:hint="eastAsia"/>
                <w:b/>
                <w:bCs/>
                <w:spacing w:val="-2"/>
                <w:lang w:val="en-US" w:eastAsia="zh-CN"/>
              </w:rPr>
              <w:t>业绩说明会</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80" w:firstLineChars="200"/>
              <w:jc w:val="left"/>
              <w:textAlignment w:val="baseline"/>
              <w:rPr>
                <w:rFonts w:hint="default"/>
                <w:lang w:val="en-US" w:eastAsia="zh-CN"/>
              </w:rPr>
            </w:pPr>
            <w:r>
              <w:rPr>
                <w:rFonts w:hint="eastAsia"/>
                <w:lang w:val="en-US" w:eastAsia="zh-CN"/>
              </w:rPr>
              <w:t>2024年11月4日，</w:t>
            </w:r>
            <w:r>
              <w:rPr>
                <w:rFonts w:hint="eastAsia"/>
                <w:lang w:eastAsia="zh-CN"/>
              </w:rPr>
              <w:t>公司</w:t>
            </w:r>
            <w:r>
              <w:rPr>
                <w:rFonts w:hint="eastAsia"/>
                <w:lang w:val="en-US" w:eastAsia="zh-CN"/>
              </w:rPr>
              <w:t>通过上证路演中心举行2024年第三季度业绩说明会，线上回答广大投资者提出的问题。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18" w:type="pct"/>
          </w:tcPr>
          <w:p>
            <w:pPr>
              <w:pStyle w:val="7"/>
              <w:keepNext w:val="0"/>
              <w:keepLines w:val="0"/>
              <w:pageBreakBefore w:val="0"/>
              <w:widowControl/>
              <w:kinsoku w:val="0"/>
              <w:wordWrap/>
              <w:overflowPunct/>
              <w:topLinePunct w:val="0"/>
              <w:autoSpaceDE w:val="0"/>
              <w:autoSpaceDN w:val="0"/>
              <w:bidi w:val="0"/>
              <w:adjustRightInd w:val="0"/>
              <w:snapToGrid w:val="0"/>
              <w:spacing w:before="148" w:line="222" w:lineRule="auto"/>
              <w:ind w:left="105" w:leftChars="50" w:right="105" w:rightChars="50"/>
              <w:jc w:val="left"/>
              <w:textAlignment w:val="baseline"/>
            </w:pPr>
            <w:r>
              <w:rPr>
                <w:spacing w:val="-6"/>
              </w:rPr>
              <w:t>时间</w:t>
            </w:r>
          </w:p>
        </w:tc>
        <w:tc>
          <w:tcPr>
            <w:tcW w:w="4081" w:type="pct"/>
            <w:gridSpan w:val="2"/>
          </w:tcPr>
          <w:p>
            <w:pPr>
              <w:pStyle w:val="7"/>
              <w:spacing w:before="148" w:line="220" w:lineRule="auto"/>
              <w:ind w:left="116"/>
              <w:rPr>
                <w:rFonts w:hint="default" w:eastAsia="宋体"/>
                <w:lang w:val="en-US" w:eastAsia="zh-CN"/>
              </w:rPr>
            </w:pPr>
            <w:r>
              <w:rPr>
                <w:rFonts w:hint="eastAsia"/>
                <w:spacing w:val="-7"/>
              </w:rPr>
              <w:t>2024年</w:t>
            </w:r>
            <w:r>
              <w:rPr>
                <w:rFonts w:hint="eastAsia"/>
                <w:spacing w:val="-7"/>
                <w:lang w:val="en-US" w:eastAsia="zh-CN"/>
              </w:rPr>
              <w:t>10</w:t>
            </w:r>
            <w:r>
              <w:rPr>
                <w:rFonts w:hint="eastAsia"/>
                <w:spacing w:val="-7"/>
              </w:rPr>
              <w:t>月</w:t>
            </w:r>
            <w:r>
              <w:rPr>
                <w:rFonts w:hint="eastAsia"/>
                <w:spacing w:val="-7"/>
                <w:lang w:val="en-US" w:eastAsia="zh-CN"/>
              </w:rPr>
              <w:t>1</w:t>
            </w:r>
            <w:r>
              <w:rPr>
                <w:rFonts w:hint="eastAsia"/>
                <w:spacing w:val="-7"/>
              </w:rPr>
              <w:t>日</w:t>
            </w:r>
            <w:r>
              <w:rPr>
                <w:rFonts w:hint="eastAsia"/>
                <w:spacing w:val="-7"/>
                <w:lang w:val="en-US" w:eastAsia="zh-CN"/>
              </w:rPr>
              <w:t>-10月31日、</w:t>
            </w:r>
            <w:r>
              <w:rPr>
                <w:rFonts w:hint="eastAsia"/>
                <w:spacing w:val="-7"/>
              </w:rPr>
              <w:t>2024年</w:t>
            </w:r>
            <w:r>
              <w:rPr>
                <w:rFonts w:hint="eastAsia"/>
                <w:spacing w:val="-7"/>
                <w:lang w:val="en-US" w:eastAsia="zh-CN"/>
              </w:rPr>
              <w:t>11</w:t>
            </w:r>
            <w:r>
              <w:rPr>
                <w:rFonts w:hint="eastAsia"/>
                <w:spacing w:val="-7"/>
              </w:rPr>
              <w:t>月</w:t>
            </w:r>
            <w:r>
              <w:rPr>
                <w:rFonts w:hint="eastAsia"/>
                <w:spacing w:val="-7"/>
                <w:lang w:val="en-US" w:eastAsia="zh-CN"/>
              </w:rPr>
              <w:t>4</w:t>
            </w:r>
            <w:r>
              <w:rPr>
                <w:rFonts w:hint="eastAsia"/>
                <w:spacing w:val="-7"/>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18" w:type="pct"/>
          </w:tcPr>
          <w:p>
            <w:pPr>
              <w:pStyle w:val="7"/>
              <w:keepNext w:val="0"/>
              <w:keepLines w:val="0"/>
              <w:pageBreakBefore w:val="0"/>
              <w:widowControl/>
              <w:kinsoku w:val="0"/>
              <w:wordWrap/>
              <w:overflowPunct/>
              <w:topLinePunct w:val="0"/>
              <w:autoSpaceDE w:val="0"/>
              <w:autoSpaceDN w:val="0"/>
              <w:bidi w:val="0"/>
              <w:adjustRightInd w:val="0"/>
              <w:snapToGrid w:val="0"/>
              <w:spacing w:before="166" w:line="224" w:lineRule="auto"/>
              <w:ind w:left="105" w:leftChars="50" w:right="105" w:rightChars="50"/>
              <w:jc w:val="left"/>
              <w:textAlignment w:val="baseline"/>
            </w:pPr>
            <w:r>
              <w:rPr>
                <w:spacing w:val="-3"/>
              </w:rPr>
              <w:t>地点</w:t>
            </w:r>
          </w:p>
        </w:tc>
        <w:tc>
          <w:tcPr>
            <w:tcW w:w="4081" w:type="pct"/>
            <w:gridSpan w:val="2"/>
          </w:tcPr>
          <w:p>
            <w:pPr>
              <w:pStyle w:val="7"/>
              <w:spacing w:before="166" w:line="220" w:lineRule="auto"/>
              <w:ind w:left="128"/>
              <w:rPr>
                <w:rFonts w:hint="default"/>
                <w:lang w:val="en-US" w:eastAsia="zh-CN"/>
              </w:rPr>
            </w:pPr>
            <w:r>
              <w:rPr>
                <w:rFonts w:hint="default"/>
                <w:lang w:val="en-US" w:eastAsia="zh-CN"/>
              </w:rPr>
              <w:t>通威股份成都总部、上证路演中心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trPr>
        <w:tc>
          <w:tcPr>
            <w:tcW w:w="918" w:type="pct"/>
            <w:vAlign w:val="center"/>
          </w:tcPr>
          <w:p>
            <w:pPr>
              <w:pStyle w:val="7"/>
              <w:keepNext w:val="0"/>
              <w:keepLines w:val="0"/>
              <w:pageBreakBefore w:val="0"/>
              <w:widowControl/>
              <w:kinsoku w:val="0"/>
              <w:wordWrap/>
              <w:overflowPunct/>
              <w:topLinePunct w:val="0"/>
              <w:autoSpaceDE w:val="0"/>
              <w:autoSpaceDN w:val="0"/>
              <w:bidi w:val="0"/>
              <w:adjustRightInd w:val="0"/>
              <w:snapToGrid w:val="0"/>
              <w:spacing w:before="78" w:line="347" w:lineRule="auto"/>
              <w:ind w:left="105" w:leftChars="50" w:right="105" w:rightChars="50"/>
              <w:jc w:val="left"/>
              <w:textAlignment w:val="baseline"/>
              <w:rPr>
                <w:lang w:eastAsia="zh-CN"/>
              </w:rPr>
            </w:pPr>
            <w:r>
              <w:rPr>
                <w:spacing w:val="27"/>
                <w:lang w:eastAsia="zh-CN"/>
              </w:rPr>
              <w:t>上市公司接待人员姓名</w:t>
            </w:r>
          </w:p>
        </w:tc>
        <w:tc>
          <w:tcPr>
            <w:tcW w:w="4081" w:type="pct"/>
            <w:gridSpan w:val="2"/>
          </w:tcPr>
          <w:p>
            <w:pPr>
              <w:pStyle w:val="7"/>
              <w:spacing w:before="166" w:line="220" w:lineRule="auto"/>
              <w:ind w:left="128"/>
              <w:rPr>
                <w:rFonts w:hint="eastAsia"/>
                <w:lang w:val="en-US" w:eastAsia="zh-CN"/>
              </w:rPr>
            </w:pPr>
            <w:r>
              <w:rPr>
                <w:rFonts w:hint="eastAsia"/>
                <w:lang w:val="en-US" w:eastAsia="zh-CN"/>
              </w:rPr>
              <w:t>董事长、CEO 刘舒琪</w:t>
            </w:r>
          </w:p>
          <w:p>
            <w:pPr>
              <w:pStyle w:val="7"/>
              <w:spacing w:before="166" w:line="220" w:lineRule="auto"/>
              <w:ind w:left="128"/>
              <w:rPr>
                <w:rFonts w:hint="eastAsia"/>
                <w:lang w:val="en-US" w:eastAsia="zh-CN"/>
              </w:rPr>
            </w:pPr>
            <w:r>
              <w:rPr>
                <w:rFonts w:hint="eastAsia"/>
                <w:lang w:val="en-US" w:eastAsia="zh-CN"/>
              </w:rPr>
              <w:t>独立董事 傅代国</w:t>
            </w:r>
          </w:p>
          <w:p>
            <w:pPr>
              <w:pStyle w:val="7"/>
              <w:spacing w:before="166" w:line="220" w:lineRule="auto"/>
              <w:ind w:left="128"/>
              <w:rPr>
                <w:rFonts w:hint="eastAsia"/>
                <w:lang w:val="en-US" w:eastAsia="zh-CN"/>
              </w:rPr>
            </w:pPr>
            <w:r>
              <w:rPr>
                <w:rFonts w:hint="eastAsia"/>
                <w:lang w:val="en-US" w:eastAsia="zh-CN"/>
              </w:rPr>
              <w:t>光伏首席技术官、通威太阳能（成都）有限公司技术中心（国家级）主任 邢国强</w:t>
            </w:r>
          </w:p>
          <w:p>
            <w:pPr>
              <w:pStyle w:val="7"/>
              <w:spacing w:before="166" w:line="220" w:lineRule="auto"/>
              <w:ind w:left="128"/>
              <w:rPr>
                <w:rFonts w:hint="eastAsia"/>
                <w:lang w:val="en-US" w:eastAsia="zh-CN"/>
              </w:rPr>
            </w:pPr>
            <w:r>
              <w:rPr>
                <w:rFonts w:hint="eastAsia"/>
                <w:lang w:val="en-US" w:eastAsia="zh-CN"/>
              </w:rPr>
              <w:t>财务总监 周斌</w:t>
            </w:r>
          </w:p>
          <w:p>
            <w:pPr>
              <w:pStyle w:val="7"/>
              <w:spacing w:before="166" w:line="220" w:lineRule="auto"/>
              <w:ind w:left="128"/>
              <w:rPr>
                <w:rFonts w:hint="eastAsia"/>
                <w:spacing w:val="-4"/>
                <w:lang w:eastAsia="zh-CN"/>
              </w:rPr>
            </w:pPr>
            <w:r>
              <w:rPr>
                <w:rFonts w:hint="eastAsia"/>
                <w:lang w:val="en-US" w:eastAsia="zh-CN"/>
              </w:rPr>
              <w:t>董事会秘书 严轲</w:t>
            </w:r>
          </w:p>
          <w:p>
            <w:pPr>
              <w:pStyle w:val="7"/>
              <w:spacing w:before="166" w:line="220" w:lineRule="auto"/>
              <w:ind w:left="128"/>
              <w:rPr>
                <w:rFonts w:hint="eastAsia"/>
                <w:spacing w:val="-4"/>
                <w:lang w:eastAsia="zh-CN"/>
              </w:rPr>
            </w:pPr>
            <w:r>
              <w:rPr>
                <w:rFonts w:hint="eastAsia"/>
                <w:spacing w:val="-4"/>
                <w:lang w:eastAsia="zh-CN"/>
              </w:rPr>
              <w:t>投资者关系经理</w:t>
            </w:r>
            <w:r>
              <w:rPr>
                <w:rFonts w:hint="eastAsia"/>
                <w:spacing w:val="-4"/>
                <w:lang w:val="en-US" w:eastAsia="zh-CN"/>
              </w:rPr>
              <w:t xml:space="preserve"> </w:t>
            </w:r>
            <w:r>
              <w:rPr>
                <w:rFonts w:hint="eastAsia"/>
                <w:spacing w:val="-4"/>
                <w:lang w:eastAsia="zh-CN"/>
              </w:rPr>
              <w:t>钟秋实</w:t>
            </w:r>
          </w:p>
          <w:p>
            <w:pPr>
              <w:pStyle w:val="7"/>
              <w:spacing w:before="166" w:line="220" w:lineRule="auto"/>
              <w:ind w:left="128"/>
              <w:rPr>
                <w:lang w:eastAsia="zh-CN"/>
              </w:rPr>
            </w:pPr>
            <w:r>
              <w:rPr>
                <w:rFonts w:hint="eastAsia"/>
                <w:spacing w:val="-4"/>
                <w:lang w:eastAsia="zh-CN"/>
              </w:rPr>
              <w:t>投资者关系经理</w:t>
            </w:r>
            <w:r>
              <w:rPr>
                <w:rFonts w:hint="eastAsia"/>
                <w:spacing w:val="-4"/>
                <w:lang w:val="en-US" w:eastAsia="zh-CN"/>
              </w:rPr>
              <w:t xml:space="preserve"> </w:t>
            </w:r>
            <w:r>
              <w:rPr>
                <w:rFonts w:hint="eastAsia"/>
                <w:spacing w:val="-4"/>
                <w:lang w:eastAsia="zh-CN"/>
              </w:rPr>
              <w:t>孙书恒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918" w:type="pct"/>
            <w:vAlign w:val="center"/>
          </w:tcPr>
          <w:p>
            <w:pPr>
              <w:pStyle w:val="7"/>
              <w:spacing w:before="78" w:line="353" w:lineRule="auto"/>
              <w:ind w:left="118" w:right="109" w:firstLine="1"/>
              <w:jc w:val="both"/>
              <w:rPr>
                <w:lang w:eastAsia="zh-CN"/>
              </w:rPr>
            </w:pPr>
            <w:r>
              <w:rPr>
                <w:spacing w:val="27"/>
                <w:lang w:eastAsia="zh-CN"/>
              </w:rPr>
              <w:t>投资者关系活</w:t>
            </w:r>
            <w:r>
              <w:rPr>
                <w:spacing w:val="28"/>
                <w:lang w:eastAsia="zh-CN"/>
              </w:rPr>
              <w:t>动主要内容介</w:t>
            </w:r>
            <w:r>
              <w:rPr>
                <w:lang w:eastAsia="zh-CN"/>
              </w:rPr>
              <w:t>绍</w:t>
            </w:r>
          </w:p>
        </w:tc>
        <w:tc>
          <w:tcPr>
            <w:tcW w:w="4081" w:type="pct"/>
            <w:gridSpan w:val="2"/>
          </w:tcPr>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eastAsia"/>
                <w:b/>
                <w:bCs/>
                <w:lang w:val="en-US" w:eastAsia="zh-CN"/>
              </w:rPr>
            </w:pPr>
            <w:r>
              <w:rPr>
                <w:rFonts w:hint="eastAsia"/>
                <w:b/>
                <w:bCs/>
              </w:rPr>
              <w:t>公司对收购润阳的尽调预计什么时间完成</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80" w:firstLineChars="200"/>
              <w:jc w:val="both"/>
              <w:textAlignment w:val="baseline"/>
              <w:rPr>
                <w:rFonts w:hint="default"/>
                <w:lang w:val="en-US" w:eastAsia="zh-CN"/>
              </w:rPr>
            </w:pPr>
            <w:r>
              <w:rPr>
                <w:rFonts w:hint="eastAsia"/>
                <w:lang w:val="en-US" w:eastAsia="zh-CN"/>
              </w:rPr>
              <w:t>答：尊敬的投资者您好，目前公司正与第三方中介机构持续推进审计、评估及业务尽调等相关工作，并持续与各方磋商洽谈，相关工作仍在推进中。若相关事项存在重要进展或重大变化，公司将按照监管规则及时披露。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eastAsia"/>
                <w:b/>
                <w:bCs/>
              </w:rPr>
            </w:pPr>
            <w:r>
              <w:rPr>
                <w:rFonts w:hint="eastAsia"/>
                <w:b/>
                <w:bCs/>
              </w:rPr>
              <w:t>传闻11月份会有限制光伏各环节产能利用率的政策出来，公司是否有听说？</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80" w:firstLineChars="200"/>
              <w:jc w:val="both"/>
              <w:textAlignment w:val="baseline"/>
              <w:rPr>
                <w:rFonts w:hint="default"/>
                <w:b w:val="0"/>
                <w:bCs w:val="0"/>
                <w:lang w:val="en-US" w:eastAsia="zh-CN"/>
              </w:rPr>
            </w:pPr>
            <w:r>
              <w:rPr>
                <w:rFonts w:hint="eastAsia"/>
                <w:lang w:val="en-US" w:eastAsia="zh-CN"/>
              </w:rPr>
              <w:t>答：尊敬的投资者您好，有听闻相关信息，但截至目前公司还未正式收到关于光伏各环节产能利用率的政策要求，我们会密切跟进，若政策后续出台做好落实工作，感谢您的关注。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eastAsia"/>
                <w:b/>
                <w:bCs/>
              </w:rPr>
            </w:pPr>
            <w:r>
              <w:rPr>
                <w:rFonts w:hint="eastAsia"/>
                <w:b/>
                <w:bCs/>
              </w:rPr>
              <w:t>如果国家出手对硅料产能进行供给侧管控的话，按照耗电量低于多少才能开工是否合理？公司有无建议反馈到行业协会或政府相关部门，关于加强硅料产能管控的？</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80" w:firstLineChars="200"/>
              <w:jc w:val="both"/>
              <w:textAlignment w:val="baseline"/>
              <w:rPr>
                <w:rFonts w:hint="default"/>
                <w:lang w:val="en-US" w:eastAsia="zh-CN"/>
              </w:rPr>
            </w:pPr>
            <w:r>
              <w:rPr>
                <w:rFonts w:hint="eastAsia"/>
                <w:lang w:val="en-US" w:eastAsia="zh-CN"/>
              </w:rPr>
              <w:t>答：尊敬的投资者，您好！公司作为光伏行业头部企业，将积极为行业发展建言献策，为推动行业健康可持续发展贡献力量。谢谢！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eastAsia"/>
                <w:b/>
                <w:bCs/>
              </w:rPr>
              <w:t>第三季度短期负债规模增加，叠加到收购润阳预计花费50亿，公司对保障公司短期流动性有何安排？</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80" w:firstLineChars="200"/>
              <w:jc w:val="both"/>
              <w:textAlignment w:val="baseline"/>
              <w:rPr>
                <w:rFonts w:hint="default"/>
                <w:spacing w:val="-2"/>
                <w:lang w:val="en-US" w:eastAsia="zh-CN"/>
              </w:rPr>
            </w:pPr>
            <w:r>
              <w:rPr>
                <w:rFonts w:hint="eastAsia"/>
                <w:lang w:val="en-US" w:eastAsia="zh-CN"/>
              </w:rPr>
              <w:t>答：尊敬的投资者，您好！公司第三季度短期负债规模增加主要因经营规模扩大所致，截至2024年第三季度末，公司在手货币资金约164亿元、交易性金融资产约146亿元，能够保障公司后续正常的资金使用计划及经营安排，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eastAsia"/>
                <w:b/>
                <w:bCs/>
              </w:rPr>
              <w:t>请问公司如何评价光伏协会组件价格不低于0.68元/W的倡导？</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80" w:firstLineChars="200"/>
              <w:jc w:val="both"/>
              <w:textAlignment w:val="baseline"/>
              <w:rPr>
                <w:rFonts w:hint="default"/>
                <w:lang w:val="en-US" w:eastAsia="zh-CN"/>
              </w:rPr>
            </w:pPr>
            <w:r>
              <w:rPr>
                <w:rFonts w:hint="eastAsia"/>
                <w:lang w:val="en-US" w:eastAsia="zh-CN"/>
              </w:rPr>
              <w:t>答：尊敬的投资者您好，本次中国光伏行业协会设立组件投标价格指引有效贯彻了中共中央政治局会议“要强化行业自律，防止“内卷式”恶性竞争”的要求，对保障产品交付质量，促进中国光伏行业高质量可持续发展起到了积极作用。公司也将响应行业协会号召，发挥龙头企业担当，继续为全球客户提供更绿色、更高效、更可靠的光伏组件产品。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eastAsia"/>
                <w:b/>
                <w:bCs/>
                <w:lang w:val="en-US" w:eastAsia="zh-CN"/>
              </w:rPr>
            </w:pPr>
            <w:r>
              <w:rPr>
                <w:rFonts w:hint="eastAsia"/>
                <w:b/>
                <w:bCs/>
                <w:lang w:val="en-US" w:eastAsia="zh-CN"/>
              </w:rPr>
              <w:t>请问公司收购润阳进行到什么阶段了？公司是否还会考虑收购其它光伏企业？</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spacing w:val="-2"/>
                <w:lang w:eastAsia="zh-CN"/>
              </w:rPr>
              <w:t>答：</w:t>
            </w:r>
            <w:r>
              <w:rPr>
                <w:rFonts w:hint="eastAsia"/>
                <w:spacing w:val="-2"/>
                <w:lang w:val="en-US" w:eastAsia="zh-CN"/>
              </w:rPr>
              <w:t>尊敬的投资者您好，目前公司正与第三方中介机构持续推进审计、评估及业务尽调等相关工作，并与各相关方保持密切沟通。若相关事项存在重要进展或重大变化，公司将按照监管规则及时披露。此外，公司目前暂无其它收购计划。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eastAsia"/>
                <w:b/>
                <w:bCs/>
                <w:lang w:val="en-US" w:eastAsia="zh-CN"/>
              </w:rPr>
            </w:pPr>
            <w:r>
              <w:rPr>
                <w:rFonts w:hint="eastAsia"/>
                <w:b/>
                <w:bCs/>
                <w:lang w:val="en-US" w:eastAsia="zh-CN"/>
              </w:rPr>
              <w:t>基于当前光伏各环节价格低迷，通威采取哪些措施提高盈利及运营能力？</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spacing w:val="-2"/>
                <w:lang w:eastAsia="zh-CN"/>
              </w:rPr>
            </w:pPr>
            <w:r>
              <w:rPr>
                <w:spacing w:val="-2"/>
                <w:lang w:eastAsia="zh-CN"/>
              </w:rPr>
              <w:t>答：</w:t>
            </w:r>
            <w:r>
              <w:rPr>
                <w:rFonts w:hint="eastAsia"/>
                <w:spacing w:val="-2"/>
                <w:lang w:eastAsia="zh-CN"/>
              </w:rPr>
              <w:t>尊敬的投资者，您好！在当前市场环境下，公司持续稳健经营，不断巩固提升自身核心竞争能力，主要经营指标处于行业前列。具体而言，公司在市场端进一步加深与战略客户及核心客户的深度绑定，组件业务在巩固已有的市场基础上持续加强海外新市场开发，取得显著成绩；在生产端，公司则不断强化精益管理，各项生产与消耗指标在引领行业的基础上实现进一步优化，成本优势愈发彰显；在研发端，公司全面覆盖行业各类主流技术路线，取得了多项突出研发成果，技术领先水平得到不断深化。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eastAsia"/>
                <w:b/>
                <w:bCs/>
                <w:lang w:val="en-US" w:eastAsia="zh-CN"/>
              </w:rPr>
            </w:pPr>
            <w:r>
              <w:rPr>
                <w:rFonts w:hint="eastAsia"/>
                <w:b/>
                <w:bCs/>
                <w:lang w:val="en-US" w:eastAsia="zh-CN"/>
              </w:rPr>
              <w:t>公司怎么考虑在电池新技术上的布局？</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spacing w:val="-2"/>
                <w:lang w:eastAsia="zh-CN"/>
              </w:rPr>
              <w:t>答：</w:t>
            </w:r>
            <w:r>
              <w:rPr>
                <w:rFonts w:hint="eastAsia"/>
                <w:spacing w:val="-2"/>
                <w:lang w:val="en-US" w:eastAsia="zh-CN"/>
              </w:rPr>
              <w:t>尊敬的投资者您好，展望未来几年，随着终端应用场景的不断丰富，光伏电池技术也有望呈现多元化发展的趋势。公司高度重视新技术的研发，并于2023年11月启动建设了通威全球创新研发中心，目前已投入使用，公司储备了包括TOPCon、HJT、XBC、钙钛矿硅叠层电池及组件等新技术，并取得了丰硕的研发成果，其中通威THC组件功率自2023年以来连续九次刷新纪录，最高已达776.2W（210-66版型），彰显了通威HJT的行业标杆地位。由于各项新技术仍然在持续发展，公司将围绕新技术的经济性和可靠性，同时结合新技术市场发展前景及公司战略发展需要动态评估未来规划。公司将积极把握行业技术迭代的机遇，让公司在千帆竞发的技术变革中抢占发展先机，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eastAsia"/>
                <w:b/>
                <w:bCs/>
                <w:lang w:val="en-US" w:eastAsia="zh-CN"/>
              </w:rPr>
            </w:pPr>
            <w:r>
              <w:rPr>
                <w:rFonts w:hint="eastAsia"/>
                <w:b/>
                <w:bCs/>
                <w:lang w:val="en-US" w:eastAsia="zh-CN"/>
              </w:rPr>
              <w:t>公司改造成TOPCon的这部分PERC产能改造完了吗？</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spacing w:val="-2"/>
                <w:lang w:eastAsia="zh-CN"/>
              </w:rPr>
              <w:t>答：</w:t>
            </w:r>
            <w:r>
              <w:rPr>
                <w:rFonts w:hint="eastAsia"/>
              </w:rPr>
              <w:t>尊敬的投资者您好，公司自2023年底通过提前研判产业链N型需求节奏，在行业率先启动了PERC产能改造升级工作，并积极利用上半年电池行情低谷期加速改造进度，三季度TNC电池出货占比环比大幅提升。目前公司已完成所有PERC产线改造工作，部分产线改造后仍处在调试爬坡阶段，同时公司双流25GW</w:t>
            </w:r>
            <w:r>
              <w:rPr>
                <w:rFonts w:hint="eastAsia"/>
                <w:lang w:val="en-US" w:eastAsia="zh-CN"/>
              </w:rPr>
              <w:t xml:space="preserve"> </w:t>
            </w:r>
            <w:r>
              <w:rPr>
                <w:rFonts w:hint="eastAsia"/>
              </w:rPr>
              <w:t>TNC电池新项目也已逐步投产，预计年底公司N型电池产能将超过100GW，产能结构继续保持领先。谢谢！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eastAsia"/>
                <w:b/>
                <w:bCs/>
                <w:lang w:val="en-US" w:eastAsia="zh-CN"/>
              </w:rPr>
            </w:pPr>
            <w:r>
              <w:rPr>
                <w:rFonts w:hint="eastAsia"/>
                <w:b/>
                <w:bCs/>
                <w:lang w:val="en-US" w:eastAsia="zh-CN"/>
              </w:rPr>
              <w:t>包头20万吨硅料项目投产了吗，达产后完全成本预计多少？</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spacing w:val="-2"/>
                <w:lang w:eastAsia="zh-CN"/>
              </w:rPr>
              <w:t>答：</w:t>
            </w:r>
            <w:r>
              <w:rPr>
                <w:rFonts w:hint="eastAsia"/>
                <w:spacing w:val="-2"/>
                <w:lang w:val="en-US" w:eastAsia="zh-CN"/>
              </w:rPr>
              <w:t>尊敬的投资者您好，公司内蒙三期20万吨高纯晶硅项目已投产，目前正处于产能爬坡期。该项目在生产要素、规模经济、工艺水平等方面具备显著优势，有助于进一步巩固公司高纯晶硅成本优势。谢谢！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eastAsia"/>
                <w:b/>
                <w:bCs/>
                <w:lang w:val="en-US" w:eastAsia="zh-CN"/>
              </w:rPr>
            </w:pPr>
            <w:r>
              <w:rPr>
                <w:rFonts w:hint="eastAsia"/>
                <w:b/>
                <w:bCs/>
                <w:lang w:val="en-US" w:eastAsia="zh-CN"/>
              </w:rPr>
              <w:t>公司目前组件在海外的营销占比多少，海外布局主要在哪些国家？</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eastAsia"/>
                <w:spacing w:val="-2"/>
                <w:lang w:val="en-US" w:eastAsia="zh-CN"/>
              </w:rPr>
            </w:pPr>
            <w:r>
              <w:rPr>
                <w:spacing w:val="-2"/>
                <w:lang w:eastAsia="zh-CN"/>
              </w:rPr>
              <w:t>答：</w:t>
            </w:r>
            <w:r>
              <w:rPr>
                <w:rFonts w:hint="eastAsia"/>
                <w:spacing w:val="-2"/>
                <w:lang w:val="en-US" w:eastAsia="zh-CN"/>
              </w:rPr>
              <w:t>尊敬的投资者您好，公司大规模布局组件环节虽然相较于传统一体化组件厂商较晚，但近两年公司组件出货增速显著优于行业平均，今年以来公司月度海外组件出口占比已逐渐增长至10%左右，下游客户遍布海外多个国家，年内斩获多个南非、中东、罗马尼亚、西班牙等多个地区的较大订单。随着公司海外渠道的不断完善，通威组件海外影响力与份额正持续稳步提升，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eastAsia"/>
                <w:b/>
                <w:bCs/>
                <w:lang w:val="en-US" w:eastAsia="zh-CN"/>
              </w:rPr>
            </w:pPr>
            <w:r>
              <w:rPr>
                <w:rFonts w:hint="eastAsia"/>
                <w:b/>
                <w:bCs/>
                <w:lang w:val="en-US" w:eastAsia="zh-CN"/>
              </w:rPr>
              <w:t>请问公司多晶硅、电池和组件环节库存情况如何？</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eastAsia"/>
                <w:spacing w:val="-2"/>
                <w:lang w:val="en-US" w:eastAsia="zh-CN"/>
              </w:rPr>
            </w:pPr>
            <w:r>
              <w:rPr>
                <w:rFonts w:hint="eastAsia"/>
                <w:spacing w:val="-2"/>
                <w:lang w:val="en-US" w:eastAsia="zh-CN"/>
              </w:rPr>
              <w:t>答：尊敬的投资者您好，公司高度重视运营效率，并与下游多家客户建立了稳定的战略合作关系，各环节产品均保持积极出货，截至目前公司多晶硅、电池、组件产品库存周期均优于行业平均水平。谢谢！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公司有没有去尝试直接出口硅料，有的话大概出口量有多少？</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尊敬的投资者您好，目前全球硅片产能主要集中在我国，公司目前硅料销售主要通过与国内下游硅片厂商进行长单合作，出货按计划稳定执行，感谢您的关注。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公司有对外出口电池吗？是否会有溢价？</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尊敬的投资者您好，公司电池产品一直有出口部分，具体出口国家及情况请查阅公司年报。公司电池出口地区多为自由流通的市场，价格水平主要受整个供需情况影响，目前并无太大差别，感谢您的关注！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我看三方咨询机构显示公司电池出货量已不再是全球第一，排位出现了下滑，公司是否在新一轮电池技术变革中掉了队，抑或是调整了战略重心？</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尊敬的投资者您好，据Infolink</w:t>
            </w:r>
            <w:r>
              <w:rPr>
                <w:rFonts w:hint="eastAsia"/>
                <w:spacing w:val="-2"/>
                <w:lang w:val="en-US" w:eastAsia="zh-CN"/>
              </w:rPr>
              <w:t xml:space="preserve"> </w:t>
            </w:r>
            <w:r>
              <w:rPr>
                <w:rFonts w:hint="default"/>
                <w:spacing w:val="-2"/>
                <w:lang w:val="en-US" w:eastAsia="zh-CN"/>
              </w:rPr>
              <w:t>Consulting发布2024上半年电池片出货排名所示，公司在该榜单排位变成第三，主要原因是公司组件产量及出货量不断提升，公司电池产品的自用比例逐步攀升，导致外销电池量下滑，而该出货排名仅是外销部分的排名。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公司4季度组件排产如何展望？</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尊敬的投资者您好，四季度通常属于招投标以及订单交付旺季，进入四季度以来排产环比有一定上升，但总体较为平稳。公司目前在手订单充沛，并会在利益最大化的前提下争取更多产品出货，感谢您的关注。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请问公司是否有考虑布局储能业务？</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储能行业是新能源领域的重要组成部分，在新型电力系统中扮演着平衡供需、提高电网稳定性和促进可再生能源的利用等至关重要的角色。公司光伏业务目前仍聚焦于主产业链环节，暂无考虑大力发展储能业务的计划，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公司目前会考虑下调“通22”可转债转股价格吗？</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自2024年5月8日起至2024年5月28日，公司股票收盘价在连续三十个交易日中有十五个交易日低于当期转股价格的85%（30.18元/股），已触发“通22转债”的转股价格向下修正条款。经公司第八届董事会第十九次会议审议通过，公司董事会决定本次不向下修正转股价格，并在作出本次董事会决议后6个月内（即2024年5月29日至2024年11月28日）亦不提出转股价格向下修正方案，故公司目前暂无下调“通22”可转债转股价格的计划。自2024年11月29日起首个交易日重新开始计算，如“通22转债”未来再次触发转股价格向下修正条款，公司董事会将再次召开会议决定是否行使“通22转债”转股价格向下修正的权利。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公司三季度减值还有吗？主要是什么减值？</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尊敬的投资者，您好！公司第三季度共计提资产减值准备10.66亿元，其中因光伏产业链价格下跌，共计提存货跌价准备10.34亿元。感谢您的提问！</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公司内蒙古20万吨多晶硅项目投产了吗？目前行情这么差，往后是否在硅料环节会考虑减产吗？</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公司已于近期投产内蒙三期20万吨高纯晶硅项目，该项目在生产要素、规模、工艺等方面具备显著优势。目前多晶硅销售价格依然位于历史底部区间，公司将紧密跟踪市场供需情况和多晶硅价格走势，根据内部项目成本排序及经济性测算动态评估最优开工组态。感谢您的提问！</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公司货币资金中有多少是受限的资金？</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尊敬的投资者您好，截至三季度末，公司在手货币资金约164亿元，可交易性金融资产约146亿元，货币资金中的受限资金占比较小，主要系各类型保证金，不影响公司正常的资金使用计划。谢谢！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你好，目前美国市场光伏组件产品仍然有明显的溢价，公司是否会考虑去美国建设产能？</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公司一直对产能出海的机会保持高度关注和积极研究，前期相关团队也进行过多次调研，并持续围绕海外贸易政策、生产要素稳定性、产业配套、投资强度、合作模式等机遇与挑战进行全方位论证，但海外尤其是美国后续的贸易政策还存在较大不确定性，公司希望在全球化布局上走得更稳，后期具体项目规划请以公司公告为准。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公司三季度环比大幅减亏主要是什么原因？</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面临当前光伏行业阶段性供需失衡的调整，公司始终贯彻“聚势聚焦、执行到位、高效经营”的经营方针，继续围绕光伏制造环节的降本增效工作不断努力，叠加三季度公司乐山、保山高纯晶硅基地处于丰水期电价，公司高纯晶硅生产成本环比二季度显著降低，高纯晶硅业务实现环比减亏。此外，公司三季度电池业务N型产品出货占比继续环比提升，组件业务计提存货跌价准备数额环比下降，农牧业务产销两旺，盈利环比提升。谢谢！</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请问公司2025年资本开支环比今年应该是怎样的一个趋势？</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尊敬的投资者您好，公司将立足于自身战略规划，结合市场环境变化和资金使用安排，做好相应的资本开支计划，根据前期的项目规划和当前的市场环境，预计2025年资本开支将环比下降。感谢您的关注。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公司对叠栅技术的研发是否有具体的时间表和目标指标？</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从当前市场条件来看，其它各项新技术都在动态变化，且叠栅技术在研发过程中还具有不确定性，故暂无法做出具体目标指引，公司会和相关合作方一同加快开展各项研发工作，力争早日实现叠栅技术在产业化的应用。</w:t>
            </w:r>
          </w:p>
          <w:p>
            <w:pPr>
              <w:pStyle w:val="7"/>
              <w:keepNext w:val="0"/>
              <w:keepLines w:val="0"/>
              <w:pageBreakBefore w:val="0"/>
              <w:widowControl/>
              <w:numPr>
                <w:ilvl w:val="0"/>
                <w:numId w:val="2"/>
              </w:numPr>
              <w:tabs>
                <w:tab w:val="clear" w:pos="0"/>
              </w:tabs>
              <w:kinsoku w:val="0"/>
              <w:wordWrap/>
              <w:overflowPunct/>
              <w:topLinePunct w:val="0"/>
              <w:autoSpaceDE w:val="0"/>
              <w:autoSpaceDN w:val="0"/>
              <w:bidi w:val="0"/>
              <w:adjustRightInd w:val="0"/>
              <w:snapToGrid w:val="0"/>
              <w:spacing w:before="0" w:beforeLines="50" w:line="360" w:lineRule="auto"/>
              <w:ind w:left="0" w:leftChars="0" w:right="105" w:rightChars="50" w:firstLine="482" w:firstLineChars="200"/>
              <w:jc w:val="both"/>
              <w:textAlignment w:val="baseline"/>
              <w:rPr>
                <w:rFonts w:hint="default"/>
                <w:b/>
                <w:bCs/>
                <w:lang w:val="en-US" w:eastAsia="zh-CN"/>
              </w:rPr>
            </w:pPr>
            <w:r>
              <w:rPr>
                <w:rFonts w:hint="default"/>
                <w:b/>
                <w:bCs/>
                <w:lang w:val="en-US" w:eastAsia="zh-CN"/>
              </w:rPr>
              <w:t>公司是否会考虑使用回购和增持专项贷款？</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尊敬的投资者您好，公司于2024年4月28日召开第八届董事会第十八次会议，审议通过了《关于以集中竞价交易方式回购公司股份的议案》。公司本次拟使用不低于人民币20亿元（含）且不超过人民币40亿元（含）自有资金以集中竞价交易方式回购公司股份，用于实施员工持股计划或股权激励。截至2024年10月31日，公司已回购公司股份101,360,012股，占公司目前总股本约2.25%，成交总金额为2,001,014,959.13元。增持方面，公司于2024年2月1日披露《通威股份有限公司关于公司控股股东增持公司股份计划的公告》，公司控股股东通威集团有限公司计划于2024年2月1日起至2025年1月31日期间，通过上海证券交易所交易系统允许的方式增持公司股份，拟增持金额不低于人民币10亿元，不超过人民币20亿元。截至目前，通威集团已累计增持公司股份48,000,072股，占公司总股本约1.07%，累计增持金额为1,001,674,595.05元（不含交易费用）。后续公司仍将按监管规则持续及时履行关于增持和回购进展的信息披露义务。</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105" w:rightChars="50" w:firstLine="472" w:firstLineChars="200"/>
              <w:jc w:val="both"/>
              <w:textAlignment w:val="baseline"/>
              <w:rPr>
                <w:rFonts w:hint="default"/>
                <w:spacing w:val="-2"/>
                <w:lang w:val="en-US" w:eastAsia="zh-CN"/>
              </w:rPr>
            </w:pPr>
            <w:r>
              <w:rPr>
                <w:rFonts w:hint="default"/>
                <w:spacing w:val="-2"/>
                <w:lang w:val="en-US" w:eastAsia="zh-CN"/>
              </w:rPr>
              <w:t>近期，公司也关注到中国人民银行联合金融监管总局、中国证监会发布《关于设立股票回购增持再贷款有关事宜的通知》，设立股票回购增持再贷款，激励引导金融机构向符合条件的上市公司和主要股东提供贷款，支持其回购和增持上市公司股票。公司目前仍在对相关政策进行积极研究。谢谢！</w:t>
            </w:r>
          </w:p>
        </w:tc>
      </w:tr>
    </w:tbl>
    <w:p>
      <w:pPr>
        <w:spacing w:line="91" w:lineRule="auto"/>
        <w:rPr>
          <w:sz w:val="2"/>
          <w:lang w:eastAsia="zh-CN"/>
        </w:rPr>
      </w:pPr>
    </w:p>
    <w:sectPr>
      <w:pgSz w:w="11907" w:h="16839"/>
      <w:pgMar w:top="1431" w:right="1785" w:bottom="1429"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C01F0"/>
    <w:multiLevelType w:val="multilevel"/>
    <w:tmpl w:val="30EC01F0"/>
    <w:lvl w:ilvl="0" w:tentative="0">
      <w:start w:val="1"/>
      <w:numFmt w:val="decimal"/>
      <w:lvlText w:val="%1."/>
      <w:lvlJc w:val="left"/>
      <w:pPr>
        <w:ind w:left="496" w:hanging="360"/>
      </w:pPr>
      <w:rPr>
        <w:rFonts w:hint="default"/>
      </w:rPr>
    </w:lvl>
    <w:lvl w:ilvl="1" w:tentative="0">
      <w:start w:val="1"/>
      <w:numFmt w:val="lowerLetter"/>
      <w:lvlText w:val="%2)"/>
      <w:lvlJc w:val="left"/>
      <w:pPr>
        <w:ind w:left="1016" w:hanging="440"/>
      </w:pPr>
    </w:lvl>
    <w:lvl w:ilvl="2" w:tentative="0">
      <w:start w:val="1"/>
      <w:numFmt w:val="lowerRoman"/>
      <w:lvlText w:val="%3."/>
      <w:lvlJc w:val="right"/>
      <w:pPr>
        <w:ind w:left="1456" w:hanging="440"/>
      </w:pPr>
    </w:lvl>
    <w:lvl w:ilvl="3" w:tentative="0">
      <w:start w:val="1"/>
      <w:numFmt w:val="decimal"/>
      <w:lvlText w:val="%4."/>
      <w:lvlJc w:val="left"/>
      <w:pPr>
        <w:ind w:left="1896" w:hanging="440"/>
      </w:pPr>
    </w:lvl>
    <w:lvl w:ilvl="4" w:tentative="0">
      <w:start w:val="1"/>
      <w:numFmt w:val="lowerLetter"/>
      <w:lvlText w:val="%5)"/>
      <w:lvlJc w:val="left"/>
      <w:pPr>
        <w:ind w:left="2336" w:hanging="440"/>
      </w:pPr>
    </w:lvl>
    <w:lvl w:ilvl="5" w:tentative="0">
      <w:start w:val="1"/>
      <w:numFmt w:val="lowerRoman"/>
      <w:lvlText w:val="%6."/>
      <w:lvlJc w:val="right"/>
      <w:pPr>
        <w:ind w:left="2776" w:hanging="440"/>
      </w:pPr>
    </w:lvl>
    <w:lvl w:ilvl="6" w:tentative="0">
      <w:start w:val="1"/>
      <w:numFmt w:val="decimal"/>
      <w:lvlText w:val="%7."/>
      <w:lvlJc w:val="left"/>
      <w:pPr>
        <w:ind w:left="3216" w:hanging="440"/>
      </w:pPr>
    </w:lvl>
    <w:lvl w:ilvl="7" w:tentative="0">
      <w:start w:val="1"/>
      <w:numFmt w:val="lowerLetter"/>
      <w:lvlText w:val="%8)"/>
      <w:lvlJc w:val="left"/>
      <w:pPr>
        <w:ind w:left="3656" w:hanging="440"/>
      </w:pPr>
    </w:lvl>
    <w:lvl w:ilvl="8" w:tentative="0">
      <w:start w:val="1"/>
      <w:numFmt w:val="lowerRoman"/>
      <w:lvlText w:val="%9."/>
      <w:lvlJc w:val="right"/>
      <w:pPr>
        <w:ind w:left="4096" w:hanging="440"/>
      </w:pPr>
    </w:lvl>
  </w:abstractNum>
  <w:abstractNum w:abstractNumId="1">
    <w:nsid w:val="66F0D4B4"/>
    <w:multiLevelType w:val="singleLevel"/>
    <w:tmpl w:val="66F0D4B4"/>
    <w:lvl w:ilvl="0" w:tentative="0">
      <w:start w:val="1"/>
      <w:numFmt w:val="decimal"/>
      <w:suff w:val="nothing"/>
      <w:lvlText w:val="%1、"/>
      <w:lvlJc w:val="left"/>
      <w:pPr>
        <w:tabs>
          <w:tab w:val="left" w:pos="0"/>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IyY2ZmMWE0OGYwN2MxZDFiZGYyNzEwMTMzYTYyZTIifQ=="/>
  </w:docVars>
  <w:rsids>
    <w:rsidRoot w:val="00172A27"/>
    <w:rsid w:val="00132B6D"/>
    <w:rsid w:val="00331F12"/>
    <w:rsid w:val="003A6CFD"/>
    <w:rsid w:val="00683645"/>
    <w:rsid w:val="007F42C5"/>
    <w:rsid w:val="0091362C"/>
    <w:rsid w:val="009F4741"/>
    <w:rsid w:val="00A9039C"/>
    <w:rsid w:val="00AB4538"/>
    <w:rsid w:val="00C317EF"/>
    <w:rsid w:val="00C429A0"/>
    <w:rsid w:val="00C508A0"/>
    <w:rsid w:val="00E051F7"/>
    <w:rsid w:val="00EE2C33"/>
    <w:rsid w:val="00F72996"/>
    <w:rsid w:val="00F979D6"/>
    <w:rsid w:val="05DC161E"/>
    <w:rsid w:val="0B225DFB"/>
    <w:rsid w:val="12C63575"/>
    <w:rsid w:val="136C6BDF"/>
    <w:rsid w:val="180327A7"/>
    <w:rsid w:val="18B01199"/>
    <w:rsid w:val="21AA5206"/>
    <w:rsid w:val="25397C3C"/>
    <w:rsid w:val="25D063A7"/>
    <w:rsid w:val="28F705B3"/>
    <w:rsid w:val="294871F6"/>
    <w:rsid w:val="2A1808F5"/>
    <w:rsid w:val="300F4032"/>
    <w:rsid w:val="32572810"/>
    <w:rsid w:val="364E6452"/>
    <w:rsid w:val="37965BD5"/>
    <w:rsid w:val="38AE4472"/>
    <w:rsid w:val="3B507E5D"/>
    <w:rsid w:val="3B77553C"/>
    <w:rsid w:val="3DEE79DD"/>
    <w:rsid w:val="41647664"/>
    <w:rsid w:val="43AF21D5"/>
    <w:rsid w:val="533945E1"/>
    <w:rsid w:val="54B36524"/>
    <w:rsid w:val="54CA6DEF"/>
    <w:rsid w:val="55401139"/>
    <w:rsid w:val="587E2868"/>
    <w:rsid w:val="589624C5"/>
    <w:rsid w:val="5F107C75"/>
    <w:rsid w:val="65D75D9B"/>
    <w:rsid w:val="66522FDF"/>
    <w:rsid w:val="6B7878AD"/>
    <w:rsid w:val="6CF97C65"/>
    <w:rsid w:val="6DD16EDF"/>
    <w:rsid w:val="73013807"/>
    <w:rsid w:val="79B700A3"/>
    <w:rsid w:val="79CB43E5"/>
    <w:rsid w:val="7CD05C51"/>
    <w:rsid w:val="7E800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pPr>
    <w:rPr>
      <w:sz w:val="18"/>
      <w:szCs w:val="18"/>
    </w:rPr>
  </w:style>
  <w:style w:type="paragraph" w:styleId="3">
    <w:name w:val="header"/>
    <w:basedOn w:val="1"/>
    <w:link w:val="8"/>
    <w:autoRedefine/>
    <w:unhideWhenUsed/>
    <w:qFormat/>
    <w:uiPriority w:val="99"/>
    <w:pPr>
      <w:tabs>
        <w:tab w:val="center" w:pos="4153"/>
        <w:tab w:val="right" w:pos="8306"/>
      </w:tabs>
      <w:jc w:val="center"/>
    </w:pPr>
    <w:rPr>
      <w:sz w:val="18"/>
      <w:szCs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4"/>
      <w:szCs w:val="24"/>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955</Words>
  <Characters>976</Characters>
  <Lines>33</Lines>
  <Paragraphs>17</Paragraphs>
  <TotalTime>5</TotalTime>
  <ScaleCrop>false</ScaleCrop>
  <LinksUpToDate>false</LinksUpToDate>
  <CharactersWithSpaces>1914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2022-05-06T15:20:00Z</dcterms:created>
  <dc:creator>毋晓妮</dc:creator>
  <cp:lastModifiedBy>何卓佳</cp:lastModifiedBy>
  <cp:lastPrinted>2024-09-26T07:48:00Z</cp:lastPrinted>
  <dcterms:modified xsi:type="dcterms:W3CDTF">2024-11-04T09:49:38Z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2024-05-03T16:40:34Z</vt:filetime>
  </property>
  <property fmtid="{D5CDD505-2E9C-101B-9397-08002B2CF9AE}" pid="4" name="KSOProductBuildVer">
    <vt:lpwstr>2052-12.1.0.16120</vt:lpwstr>
  </property>
  <property fmtid="{D5CDD505-2E9C-101B-9397-08002B2CF9AE}" pid="5" name="ICV">
    <vt:lpwstr>249DEA64317C4A3BA054F386A35BA51E_13</vt:lpwstr>
  </property>
</Properties>
</file>