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88" w:lineRule="auto"/>
        <w:rPr>
          <w:rFonts w:ascii="宋体" w:hAnsi="宋体" w:cs="宋体"/>
          <w:kern w:val="0"/>
          <w:sz w:val="28"/>
          <w:szCs w:val="28"/>
          <w:lang w:val="zh-CN" w:bidi="zh-CN"/>
        </w:rPr>
      </w:pPr>
      <w:r>
        <w:rPr>
          <w:rFonts w:hint="eastAsia" w:ascii="宋体" w:hAnsi="宋体" w:cs="宋体"/>
          <w:kern w:val="0"/>
          <w:sz w:val="28"/>
          <w:szCs w:val="28"/>
          <w:lang w:val="zh-CN" w:bidi="zh-CN"/>
        </w:rPr>
        <w:t>证券代码：603977                         证券简称：国泰集团</w:t>
      </w:r>
    </w:p>
    <w:p>
      <w:pPr>
        <w:adjustRightInd w:val="0"/>
        <w:snapToGrid w:val="0"/>
        <w:spacing w:before="312" w:beforeLines="100" w:line="480" w:lineRule="exact"/>
        <w:jc w:val="center"/>
        <w:rPr>
          <w:rFonts w:ascii="黑体" w:hAnsi="黑体" w:eastAsia="黑体"/>
          <w:b/>
          <w:bCs/>
          <w:color w:val="FF0000"/>
          <w:sz w:val="32"/>
          <w:szCs w:val="36"/>
        </w:rPr>
      </w:pPr>
      <w:r>
        <w:rPr>
          <w:rFonts w:hint="eastAsia" w:ascii="黑体" w:hAnsi="黑体" w:eastAsia="黑体"/>
          <w:b/>
          <w:bCs/>
          <w:color w:val="FF0000"/>
          <w:sz w:val="32"/>
          <w:szCs w:val="36"/>
        </w:rPr>
        <w:t>江西国泰集团股份有限公司</w:t>
      </w:r>
    </w:p>
    <w:p>
      <w:pPr>
        <w:adjustRightInd w:val="0"/>
        <w:snapToGrid w:val="0"/>
        <w:spacing w:before="156" w:beforeLines="50" w:after="156" w:afterLines="50" w:line="480" w:lineRule="exact"/>
        <w:jc w:val="center"/>
        <w:rPr>
          <w:rFonts w:ascii="等线" w:hAnsi="等线"/>
          <w:b/>
          <w:bCs/>
          <w:color w:val="FF0000"/>
          <w:sz w:val="32"/>
          <w:szCs w:val="36"/>
        </w:rPr>
      </w:pPr>
      <w:r>
        <w:rPr>
          <w:rFonts w:hint="eastAsia" w:ascii="黑体" w:hAnsi="黑体" w:eastAsia="黑体"/>
          <w:b/>
          <w:bCs/>
          <w:color w:val="FF0000"/>
          <w:sz w:val="32"/>
          <w:szCs w:val="36"/>
        </w:rPr>
        <w:t>投资者关系活动记录表</w:t>
      </w:r>
    </w:p>
    <w:p>
      <w:pPr>
        <w:jc w:val="right"/>
        <w:rPr>
          <w:rFonts w:hint="eastAsia" w:ascii="宋体" w:hAnsi="宋体" w:eastAsia="宋体"/>
          <w:lang w:eastAsia="zh-CN"/>
        </w:rPr>
      </w:pPr>
      <w:r>
        <w:rPr>
          <w:rFonts w:hint="eastAsia" w:ascii="宋体" w:hAnsi="宋体"/>
        </w:rPr>
        <w:t>编号：2024-00</w:t>
      </w:r>
      <w:r>
        <w:rPr>
          <w:rFonts w:hint="eastAsia" w:ascii="宋体" w:hAnsi="宋体"/>
          <w:lang w:val="en-US" w:eastAsia="zh-CN"/>
        </w:rPr>
        <w:t>8</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1526" w:type="dxa"/>
            <w:vAlign w:val="center"/>
          </w:tcPr>
          <w:p>
            <w:pPr>
              <w:pStyle w:val="25"/>
              <w:adjustRightInd w:val="0"/>
              <w:snapToGrid w:val="0"/>
              <w:spacing w:line="348" w:lineRule="auto"/>
              <w:rPr>
                <w:b/>
                <w:bCs/>
                <w:iCs/>
                <w:sz w:val="24"/>
              </w:rPr>
            </w:pPr>
            <w:r>
              <w:rPr>
                <w:b/>
                <w:bCs/>
                <w:iCs/>
                <w:sz w:val="24"/>
              </w:rPr>
              <w:t>投资者关系活动类别</w:t>
            </w:r>
          </w:p>
        </w:tc>
        <w:tc>
          <w:tcPr>
            <w:tcW w:w="6996" w:type="dxa"/>
            <w:vAlign w:val="center"/>
          </w:tcPr>
          <w:p>
            <w:pPr>
              <w:adjustRightInd w:val="0"/>
              <w:snapToGrid w:val="0"/>
              <w:spacing w:line="348" w:lineRule="auto"/>
              <w:rPr>
                <w:bCs/>
                <w:iCs/>
                <w:sz w:val="24"/>
                <w:szCs w:val="24"/>
              </w:rPr>
            </w:pPr>
            <w:r>
              <w:rPr>
                <w:bCs/>
                <w:iCs/>
                <w:sz w:val="24"/>
                <w:szCs w:val="24"/>
              </w:rPr>
              <w:sym w:font="Wingdings 2" w:char="0052"/>
            </w:r>
            <w:r>
              <w:rPr>
                <w:sz w:val="24"/>
                <w:szCs w:val="24"/>
              </w:rPr>
              <w:t xml:space="preserve">特定对象调研       </w:t>
            </w:r>
            <w:r>
              <w:rPr>
                <w:bCs/>
                <w:iCs/>
                <w:sz w:val="24"/>
                <w:szCs w:val="24"/>
              </w:rPr>
              <w:sym w:font="Wingdings 2" w:char="00A3"/>
            </w:r>
            <w:r>
              <w:rPr>
                <w:sz w:val="24"/>
                <w:szCs w:val="24"/>
              </w:rPr>
              <w:t>分析师会议</w:t>
            </w:r>
          </w:p>
          <w:p>
            <w:pPr>
              <w:pStyle w:val="25"/>
              <w:adjustRightInd w:val="0"/>
              <w:snapToGrid w:val="0"/>
              <w:spacing w:line="348" w:lineRule="auto"/>
              <w:rPr>
                <w:bCs/>
                <w:iCs/>
                <w:sz w:val="24"/>
              </w:rPr>
            </w:pPr>
            <w:r>
              <w:rPr>
                <w:bCs/>
                <w:iCs/>
                <w:sz w:val="24"/>
              </w:rPr>
              <w:sym w:font="Wingdings 2" w:char="00A3"/>
            </w:r>
            <w:r>
              <w:rPr>
                <w:sz w:val="24"/>
              </w:rPr>
              <w:t xml:space="preserve">媒体采访           </w:t>
            </w:r>
            <w:r>
              <w:rPr>
                <w:bCs/>
                <w:iCs/>
                <w:sz w:val="24"/>
              </w:rPr>
              <w:sym w:font="Wingdings 2" w:char="00A3"/>
            </w:r>
            <w:r>
              <w:rPr>
                <w:sz w:val="24"/>
              </w:rPr>
              <w:t>业绩说明会</w:t>
            </w:r>
          </w:p>
          <w:p>
            <w:pPr>
              <w:pStyle w:val="25"/>
              <w:adjustRightInd w:val="0"/>
              <w:snapToGrid w:val="0"/>
              <w:spacing w:line="348" w:lineRule="auto"/>
              <w:rPr>
                <w:bCs/>
                <w:iCs/>
                <w:sz w:val="24"/>
              </w:rPr>
            </w:pPr>
            <w:r>
              <w:rPr>
                <w:bCs/>
                <w:iCs/>
                <w:sz w:val="24"/>
              </w:rPr>
              <w:sym w:font="Wingdings 2" w:char="00A3"/>
            </w:r>
            <w:r>
              <w:rPr>
                <w:sz w:val="24"/>
              </w:rPr>
              <w:t xml:space="preserve">新闻发布会         </w:t>
            </w:r>
            <w:r>
              <w:rPr>
                <w:bCs/>
                <w:iCs/>
                <w:sz w:val="24"/>
              </w:rPr>
              <w:sym w:font="Wingdings 2" w:char="00A3"/>
            </w:r>
            <w:r>
              <w:rPr>
                <w:sz w:val="24"/>
              </w:rPr>
              <w:t>路演活动</w:t>
            </w:r>
          </w:p>
          <w:p>
            <w:pPr>
              <w:adjustRightInd w:val="0"/>
              <w:snapToGrid w:val="0"/>
              <w:spacing w:line="348" w:lineRule="auto"/>
              <w:rPr>
                <w:bCs/>
                <w:iCs/>
                <w:sz w:val="24"/>
                <w:szCs w:val="24"/>
              </w:rPr>
            </w:pPr>
            <w:r>
              <w:rPr>
                <w:sz w:val="24"/>
                <w:szCs w:val="24"/>
              </w:rPr>
              <w:sym w:font="Wingdings 2" w:char="00A3"/>
            </w:r>
            <w:r>
              <w:rPr>
                <w:sz w:val="24"/>
                <w:szCs w:val="24"/>
              </w:rPr>
              <w:t>电话会议</w:t>
            </w:r>
          </w:p>
          <w:p>
            <w:pPr>
              <w:pStyle w:val="25"/>
              <w:tabs>
                <w:tab w:val="center" w:pos="3199"/>
              </w:tabs>
              <w:adjustRightInd w:val="0"/>
              <w:snapToGrid w:val="0"/>
              <w:spacing w:line="348" w:lineRule="auto"/>
              <w:rPr>
                <w:bCs/>
                <w:iCs/>
                <w:sz w:val="24"/>
                <w:u w:val="single"/>
              </w:rPr>
            </w:pPr>
            <w:r>
              <w:rPr>
                <w:bCs/>
                <w:iCs/>
                <w:sz w:val="24"/>
              </w:rPr>
              <w:sym w:font="Wingdings 2" w:char="00A3"/>
            </w:r>
            <w:r>
              <w:rPr>
                <w:sz w:val="24"/>
              </w:rPr>
              <w:t>其他</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526" w:type="dxa"/>
            <w:vAlign w:val="center"/>
          </w:tcPr>
          <w:p>
            <w:pPr>
              <w:pStyle w:val="25"/>
              <w:adjustRightInd w:val="0"/>
              <w:snapToGrid w:val="0"/>
              <w:spacing w:line="348" w:lineRule="auto"/>
              <w:rPr>
                <w:b/>
                <w:bCs/>
                <w:iCs/>
                <w:sz w:val="24"/>
              </w:rPr>
            </w:pPr>
            <w:r>
              <w:rPr>
                <w:b/>
                <w:bCs/>
                <w:iCs/>
                <w:sz w:val="24"/>
              </w:rPr>
              <w:t>参与单位名称及人员姓名</w:t>
            </w:r>
          </w:p>
        </w:tc>
        <w:tc>
          <w:tcPr>
            <w:tcW w:w="6996" w:type="dxa"/>
            <w:vAlign w:val="center"/>
          </w:tcPr>
          <w:p>
            <w:pPr>
              <w:spacing w:line="348"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国泰基金 张 玮 戴计辉 艾小军 樊和安</w:t>
            </w:r>
          </w:p>
          <w:p>
            <w:pPr>
              <w:spacing w:line="348"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银华基金 王 华 和  玮</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前海开源基金 崔宸龙 张梓杰</w:t>
            </w:r>
          </w:p>
          <w:p>
            <w:pPr>
              <w:spacing w:line="348" w:lineRule="auto"/>
              <w:textAlignment w:val="baseline"/>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国投瑞银基金 朱益青 吴默村</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平安基金 张荫先 张  聪</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宝盈基金 朱建明</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博时基金 付  伟</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信达澳亚基金 陈一博</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民生加银基金 董士萱</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银河基金 金寿鹏</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工银瑞信 母亚乾</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诺安基金 刘晓飞</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华富基金 时  彧</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泉果基金 张羽鹏</w:t>
            </w:r>
          </w:p>
          <w:p>
            <w:pPr>
              <w:spacing w:line="348" w:lineRule="auto"/>
              <w:textAlignment w:val="baseline"/>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天时基金 程  军</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上海证券 赵军伟</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新华资产 潘  凯</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大家资产 方城林</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 xml:space="preserve">汇添富基金 刘  平 </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永赢基金 林伟昊</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财通基金 吴  帆</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西部利得基金 侯文佳</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中欧博瑞投资 周  欣</w:t>
            </w:r>
          </w:p>
          <w:p>
            <w:pPr>
              <w:spacing w:line="348"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长江证券 王贺嘉 张晨晨 李金宝</w:t>
            </w:r>
          </w:p>
          <w:p>
            <w:pPr>
              <w:spacing w:line="348" w:lineRule="auto"/>
              <w:textAlignment w:val="baseline"/>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sz w:val="24"/>
                <w:szCs w:val="24"/>
                <w:lang w:val="en-US" w:eastAsia="zh-CN"/>
              </w:rPr>
              <w:t xml:space="preserve">天风证券 </w:t>
            </w:r>
            <w:r>
              <w:rPr>
                <w:rFonts w:hint="eastAsia" w:ascii="Times New Roman" w:hAnsi="Times New Roman"/>
                <w:color w:val="000000" w:themeColor="text1"/>
                <w:sz w:val="24"/>
                <w:szCs w:val="24"/>
                <w:lang w:val="en-US" w:eastAsia="zh-CN"/>
                <w14:textFill>
                  <w14:solidFill>
                    <w14:schemeClr w14:val="tx1"/>
                  </w14:solidFill>
                </w14:textFill>
              </w:rPr>
              <w:t xml:space="preserve">王泽宇 </w:t>
            </w:r>
            <w:r>
              <w:rPr>
                <w:rFonts w:hint="eastAsia" w:ascii="Times New Roman" w:hAnsi="Times New Roman"/>
                <w:color w:val="000000" w:themeColor="text1"/>
                <w:sz w:val="24"/>
                <w:szCs w:val="24"/>
                <w14:textFill>
                  <w14:solidFill>
                    <w14:schemeClr w14:val="tx1"/>
                  </w14:solidFill>
                </w14:textFill>
              </w:rPr>
              <w:t>鲍荣富 吴居清  张蒙</w:t>
            </w:r>
            <w:r>
              <w:rPr>
                <w:rFonts w:hint="eastAsia" w:ascii="Times New Roman" w:hAnsi="Times New Roman"/>
                <w:color w:val="000000" w:themeColor="text1"/>
                <w:sz w:val="24"/>
                <w:szCs w:val="24"/>
                <w:lang w:val="en-US" w:eastAsia="zh-CN"/>
                <w14:textFill>
                  <w14:solidFill>
                    <w14:schemeClr w14:val="tx1"/>
                  </w14:solidFill>
                </w14:textFill>
              </w:rPr>
              <w:t>幻</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兴业证券 石  康 李博彦</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申万宏源 韩  强 达邵伟</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信达证券 张润毅</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浙商证券 陈海波</w:t>
            </w:r>
          </w:p>
          <w:p>
            <w:pPr>
              <w:spacing w:line="348" w:lineRule="auto"/>
              <w:textAlignment w:val="baseline"/>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华源证券 戴铭余</w:t>
            </w:r>
          </w:p>
          <w:p>
            <w:pPr>
              <w:spacing w:line="348"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国盛证券 刘天祥 蒋  澍</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华泰证券 田莫充</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光大证券 刘宇辰</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海通证券 李雨泉 胡舜杰</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银河证券 胡浩淼</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国联证券 张玮航</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高益基金 余唯念</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煜德投资 管俊玮</w:t>
            </w:r>
          </w:p>
          <w:p>
            <w:pPr>
              <w:spacing w:line="348"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潮望投资 周冰鑫</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乐信投资 李  峰</w:t>
            </w:r>
          </w:p>
          <w:p>
            <w:pPr>
              <w:spacing w:line="348"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铭海基金 梁艺腾</w:t>
            </w:r>
          </w:p>
          <w:p>
            <w:pPr>
              <w:spacing w:line="348"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源峰基金 孔令鑫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6" w:type="dxa"/>
            <w:vAlign w:val="center"/>
          </w:tcPr>
          <w:p>
            <w:pPr>
              <w:pStyle w:val="25"/>
              <w:spacing w:line="348" w:lineRule="auto"/>
              <w:rPr>
                <w:rFonts w:ascii="Times New Roman" w:hAnsi="Times New Roman"/>
                <w:b/>
                <w:bCs/>
                <w:iCs/>
                <w:sz w:val="24"/>
              </w:rPr>
            </w:pPr>
            <w:r>
              <w:rPr>
                <w:rFonts w:ascii="Times New Roman" w:hAnsi="Times New Roman"/>
                <w:b/>
                <w:bCs/>
                <w:iCs/>
                <w:sz w:val="24"/>
              </w:rPr>
              <w:t>时间</w:t>
            </w:r>
          </w:p>
        </w:tc>
        <w:tc>
          <w:tcPr>
            <w:tcW w:w="6996" w:type="dxa"/>
            <w:vAlign w:val="center"/>
          </w:tcPr>
          <w:p>
            <w:pPr>
              <w:pStyle w:val="25"/>
              <w:spacing w:line="348" w:lineRule="auto"/>
              <w:rPr>
                <w:rFonts w:ascii="Times New Roman" w:hAnsi="Times New Roman"/>
                <w:iCs/>
                <w:sz w:val="24"/>
              </w:rPr>
            </w:pPr>
            <w:r>
              <w:rPr>
                <w:rFonts w:hint="eastAsia" w:ascii="Times New Roman" w:hAnsi="Times New Roman"/>
                <w:iCs/>
                <w:sz w:val="24"/>
              </w:rPr>
              <w:t>2024年</w:t>
            </w:r>
            <w:r>
              <w:rPr>
                <w:rFonts w:hint="eastAsia" w:ascii="Times New Roman" w:hAnsi="Times New Roman"/>
                <w:iCs/>
                <w:sz w:val="24"/>
                <w:lang w:val="en-US" w:eastAsia="zh-CN"/>
              </w:rPr>
              <w:t>10</w:t>
            </w:r>
            <w:r>
              <w:rPr>
                <w:rFonts w:hint="eastAsia" w:ascii="Times New Roman" w:hAnsi="Times New Roman"/>
                <w:iCs/>
                <w:sz w:val="24"/>
              </w:rPr>
              <w:t>月</w:t>
            </w:r>
            <w:r>
              <w:rPr>
                <w:rFonts w:hint="eastAsia" w:ascii="Times New Roman" w:hAnsi="Times New Roman"/>
                <w:iCs/>
                <w:sz w:val="24"/>
                <w:lang w:val="en-US" w:eastAsia="zh-CN"/>
              </w:rPr>
              <w:t>16</w:t>
            </w:r>
            <w:r>
              <w:rPr>
                <w:rFonts w:hint="eastAsia" w:ascii="Times New Roman" w:hAnsi="Times New Roman"/>
                <w:iCs/>
                <w:sz w:val="24"/>
              </w:rPr>
              <w:t>日至</w:t>
            </w:r>
            <w:r>
              <w:rPr>
                <w:rFonts w:hint="eastAsia" w:ascii="Times New Roman" w:hAnsi="Times New Roman"/>
                <w:iCs/>
                <w:sz w:val="24"/>
                <w:lang w:val="en-US" w:eastAsia="zh-CN"/>
              </w:rPr>
              <w:t>11</w:t>
            </w:r>
            <w:r>
              <w:rPr>
                <w:rFonts w:hint="eastAsia" w:ascii="Times New Roman" w:hAnsi="Times New Roman"/>
                <w:iCs/>
                <w:sz w:val="24"/>
              </w:rPr>
              <w:t>月</w:t>
            </w:r>
            <w:r>
              <w:rPr>
                <w:rFonts w:hint="eastAsia" w:ascii="Times New Roman" w:hAnsi="Times New Roman"/>
                <w:iCs/>
                <w:sz w:val="24"/>
                <w:lang w:val="en-US" w:eastAsia="zh-CN"/>
              </w:rPr>
              <w:t>1</w:t>
            </w:r>
            <w:r>
              <w:rPr>
                <w:rFonts w:hint="eastAsia" w:ascii="Times New Roman" w:hAnsi="Times New Roman"/>
                <w:iCs/>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26" w:type="dxa"/>
            <w:vAlign w:val="center"/>
          </w:tcPr>
          <w:p>
            <w:pPr>
              <w:pStyle w:val="25"/>
              <w:spacing w:line="348" w:lineRule="auto"/>
              <w:rPr>
                <w:rFonts w:ascii="Times New Roman" w:hAnsi="Times New Roman"/>
                <w:b/>
                <w:bCs/>
                <w:iCs/>
                <w:sz w:val="24"/>
              </w:rPr>
            </w:pPr>
            <w:r>
              <w:rPr>
                <w:rFonts w:ascii="Times New Roman" w:hAnsi="Times New Roman"/>
                <w:b/>
                <w:bCs/>
                <w:iCs/>
                <w:sz w:val="24"/>
              </w:rPr>
              <w:t>地点</w:t>
            </w:r>
          </w:p>
        </w:tc>
        <w:tc>
          <w:tcPr>
            <w:tcW w:w="6996" w:type="dxa"/>
            <w:vAlign w:val="center"/>
          </w:tcPr>
          <w:p>
            <w:pPr>
              <w:pStyle w:val="25"/>
              <w:spacing w:line="348" w:lineRule="auto"/>
              <w:rPr>
                <w:rFonts w:ascii="Times New Roman" w:hAnsi="Times New Roman"/>
                <w:iCs/>
                <w:sz w:val="24"/>
              </w:rPr>
            </w:pPr>
            <w:r>
              <w:rPr>
                <w:rFonts w:hint="eastAsia" w:ascii="Times New Roman" w:hAnsi="Times New Roman"/>
                <w:iCs/>
                <w:sz w:val="24"/>
              </w:rPr>
              <w:t>江西省南昌市高新开发区高新大道699号国泰集团会议室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26" w:type="dxa"/>
            <w:vAlign w:val="center"/>
          </w:tcPr>
          <w:p>
            <w:pPr>
              <w:pStyle w:val="25"/>
              <w:spacing w:line="348" w:lineRule="auto"/>
              <w:rPr>
                <w:rFonts w:ascii="Times New Roman" w:hAnsi="Times New Roman"/>
                <w:b/>
                <w:bCs/>
                <w:iCs/>
                <w:sz w:val="24"/>
              </w:rPr>
            </w:pPr>
            <w:r>
              <w:rPr>
                <w:rFonts w:ascii="Times New Roman" w:hAnsi="Times New Roman"/>
                <w:b/>
                <w:bCs/>
                <w:iCs/>
                <w:sz w:val="24"/>
              </w:rPr>
              <w:t>上市公司接待人员姓名</w:t>
            </w:r>
          </w:p>
        </w:tc>
        <w:tc>
          <w:tcPr>
            <w:tcW w:w="6996" w:type="dxa"/>
            <w:vAlign w:val="center"/>
          </w:tcPr>
          <w:p>
            <w:pPr>
              <w:adjustRightInd w:val="0"/>
              <w:snapToGrid w:val="0"/>
              <w:spacing w:line="348" w:lineRule="auto"/>
              <w:rPr>
                <w:rFonts w:ascii="Times New Roman" w:hAnsi="Times New Roman"/>
                <w:sz w:val="24"/>
                <w:szCs w:val="24"/>
              </w:rPr>
            </w:pPr>
            <w:r>
              <w:rPr>
                <w:rFonts w:hint="eastAsia" w:ascii="Times New Roman" w:hAnsi="Times New Roman"/>
                <w:sz w:val="24"/>
                <w:szCs w:val="24"/>
              </w:rPr>
              <w:t xml:space="preserve">董事长 熊旭晴 </w:t>
            </w:r>
          </w:p>
          <w:p>
            <w:pPr>
              <w:adjustRightInd w:val="0"/>
              <w:snapToGrid w:val="0"/>
              <w:spacing w:line="348" w:lineRule="auto"/>
              <w:rPr>
                <w:rFonts w:ascii="Times New Roman" w:hAnsi="Times New Roman"/>
                <w:sz w:val="24"/>
                <w:szCs w:val="24"/>
              </w:rPr>
            </w:pPr>
            <w:r>
              <w:rPr>
                <w:rFonts w:hint="eastAsia" w:ascii="Times New Roman" w:hAnsi="Times New Roman"/>
                <w:sz w:val="24"/>
                <w:szCs w:val="24"/>
              </w:rPr>
              <w:t xml:space="preserve">董事会秘书 何骥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526" w:type="dxa"/>
            <w:vAlign w:val="center"/>
          </w:tcPr>
          <w:p>
            <w:pPr>
              <w:pStyle w:val="25"/>
              <w:adjustRightInd w:val="0"/>
              <w:snapToGrid w:val="0"/>
              <w:spacing w:line="348" w:lineRule="auto"/>
              <w:rPr>
                <w:b/>
                <w:bCs/>
                <w:iCs/>
                <w:sz w:val="24"/>
              </w:rPr>
            </w:pPr>
            <w:r>
              <w:rPr>
                <w:rFonts w:hint="eastAsia"/>
                <w:b/>
                <w:bCs/>
                <w:iCs/>
                <w:sz w:val="24"/>
              </w:rPr>
              <w:t>投资者关系活动主要内容介绍</w:t>
            </w:r>
          </w:p>
        </w:tc>
        <w:tc>
          <w:tcPr>
            <w:tcW w:w="6996" w:type="dxa"/>
          </w:tcPr>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首先向投资者简要介绍公司2024年</w:t>
            </w:r>
            <w:r>
              <w:rPr>
                <w:rFonts w:hint="eastAsia" w:ascii="宋体" w:hAnsi="宋体" w:cs="宋体"/>
                <w:sz w:val="24"/>
                <w:szCs w:val="24"/>
                <w:lang w:val="en-US" w:eastAsia="zh-CN"/>
              </w:rPr>
              <w:t>三季</w:t>
            </w:r>
            <w:r>
              <w:rPr>
                <w:rFonts w:hint="eastAsia" w:ascii="宋体" w:hAnsi="宋体" w:cs="宋体"/>
                <w:sz w:val="24"/>
                <w:szCs w:val="24"/>
              </w:rPr>
              <w:t>度经营业绩情况，民爆业务、军工新材料业务、轨交自动化及信息化业务情况，随后针对投资者关心的重点问题作了具体交流如下：</w:t>
            </w: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公司前三季度</w:t>
            </w:r>
            <w:r>
              <w:rPr>
                <w:rFonts w:hint="eastAsia" w:ascii="宋体" w:hAnsi="宋体" w:cs="宋体"/>
                <w:sz w:val="24"/>
                <w:szCs w:val="24"/>
              </w:rPr>
              <w:t>业绩下降的主要原因，对第四季度</w:t>
            </w:r>
            <w:bookmarkStart w:id="0" w:name="_GoBack"/>
            <w:bookmarkEnd w:id="0"/>
            <w:r>
              <w:rPr>
                <w:rFonts w:hint="eastAsia" w:ascii="宋体" w:hAnsi="宋体" w:cs="宋体"/>
                <w:sz w:val="24"/>
                <w:szCs w:val="24"/>
              </w:rPr>
              <w:t>的预期？</w:t>
            </w: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答：公司前三季度实现营业收入17.04亿元，</w:t>
            </w:r>
            <w:r>
              <w:rPr>
                <w:rFonts w:hint="eastAsia" w:ascii="宋体" w:hAnsi="宋体" w:cs="宋体"/>
                <w:sz w:val="24"/>
                <w:szCs w:val="24"/>
                <w:lang w:val="en-US" w:eastAsia="zh-CN"/>
              </w:rPr>
              <w:t>同比下降5.92%；</w:t>
            </w:r>
            <w:r>
              <w:rPr>
                <w:rFonts w:hint="eastAsia" w:ascii="宋体" w:hAnsi="宋体" w:cs="宋体"/>
                <w:sz w:val="24"/>
                <w:szCs w:val="24"/>
              </w:rPr>
              <w:t>实现归属于上市公司股东的净利润2.19亿元，同比下降3.16%</w:t>
            </w:r>
            <w:r>
              <w:rPr>
                <w:rFonts w:hint="eastAsia" w:ascii="宋体" w:hAnsi="宋体" w:cs="宋体"/>
                <w:sz w:val="24"/>
                <w:szCs w:val="24"/>
                <w:lang w:eastAsia="zh-CN"/>
              </w:rPr>
              <w:t>。</w:t>
            </w:r>
            <w:r>
              <w:rPr>
                <w:rFonts w:hint="eastAsia" w:ascii="宋体" w:hAnsi="宋体" w:cs="宋体"/>
                <w:sz w:val="24"/>
                <w:szCs w:val="24"/>
                <w:lang w:val="en-US" w:eastAsia="zh-CN"/>
              </w:rPr>
              <w:t>公司民爆一体化产业受行业波动影响，收入有所下降，但受益于原材料下跌因素影响，利润略有增长；轨交信息化产业及军工新材料产业收入确认集中反映在四季度。</w:t>
            </w:r>
            <w:r>
              <w:rPr>
                <w:rFonts w:hint="eastAsia" w:ascii="宋体" w:hAnsi="宋体" w:cs="宋体"/>
                <w:sz w:val="24"/>
                <w:szCs w:val="24"/>
              </w:rPr>
              <w:t>四季度公司将进一步抓经营、强管理、提质增效，推动公司</w:t>
            </w:r>
            <w:r>
              <w:rPr>
                <w:rFonts w:hint="eastAsia" w:ascii="宋体" w:hAnsi="宋体" w:cs="宋体"/>
                <w:sz w:val="24"/>
                <w:szCs w:val="24"/>
                <w:lang w:val="en-US" w:eastAsia="zh-CN"/>
              </w:rPr>
              <w:t>全年</w:t>
            </w:r>
            <w:r>
              <w:rPr>
                <w:rFonts w:hint="eastAsia" w:ascii="宋体" w:hAnsi="宋体" w:cs="宋体"/>
                <w:sz w:val="24"/>
                <w:szCs w:val="24"/>
              </w:rPr>
              <w:t>经营业绩</w:t>
            </w:r>
            <w:r>
              <w:rPr>
                <w:rFonts w:hint="eastAsia" w:ascii="宋体" w:hAnsi="宋体" w:cs="宋体"/>
                <w:sz w:val="24"/>
                <w:szCs w:val="24"/>
                <w:lang w:val="en-US" w:eastAsia="zh-CN"/>
              </w:rPr>
              <w:t>稳中向好</w:t>
            </w:r>
            <w:r>
              <w:rPr>
                <w:rFonts w:hint="eastAsia" w:ascii="宋体" w:hAnsi="宋体" w:cs="宋体"/>
                <w:sz w:val="24"/>
                <w:szCs w:val="24"/>
              </w:rPr>
              <w:t>。</w:t>
            </w:r>
          </w:p>
          <w:p>
            <w:pPr>
              <w:adjustRightInd w:val="0"/>
              <w:snapToGrid w:val="0"/>
              <w:spacing w:line="336" w:lineRule="auto"/>
              <w:ind w:firstLine="480" w:firstLineChars="200"/>
              <w:rPr>
                <w:rFonts w:ascii="宋体" w:hAnsi="宋体" w:cs="宋体"/>
                <w:sz w:val="24"/>
                <w:szCs w:val="24"/>
              </w:rPr>
            </w:pPr>
          </w:p>
          <w:p>
            <w:pPr>
              <w:adjustRightInd w:val="0"/>
              <w:snapToGrid w:val="0"/>
              <w:spacing w:line="336"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浙赣粤大运河的最新进展情况如何，对公司业务有何影响</w:t>
            </w:r>
            <w:r>
              <w:rPr>
                <w:rFonts w:hint="eastAsia" w:ascii="宋体" w:hAnsi="宋体" w:cs="宋体"/>
                <w:sz w:val="24"/>
                <w:szCs w:val="24"/>
                <w:lang w:eastAsia="zh-CN"/>
              </w:rPr>
              <w:t>，</w:t>
            </w:r>
            <w:r>
              <w:rPr>
                <w:rFonts w:hint="eastAsia" w:ascii="宋体" w:hAnsi="宋体" w:cs="宋体"/>
                <w:sz w:val="24"/>
                <w:szCs w:val="24"/>
                <w:lang w:val="en-US" w:eastAsia="zh-CN"/>
              </w:rPr>
              <w:t>公司做了哪些准备？</w:t>
            </w:r>
          </w:p>
          <w:p>
            <w:pPr>
              <w:adjustRightInd w:val="0"/>
              <w:snapToGrid w:val="0"/>
              <w:spacing w:line="336"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答：根据公开资料</w:t>
            </w:r>
            <w:r>
              <w:rPr>
                <w:rFonts w:hint="eastAsia" w:ascii="宋体" w:hAnsi="宋体" w:cs="宋体"/>
                <w:sz w:val="24"/>
                <w:szCs w:val="24"/>
                <w:lang w:val="en-US" w:eastAsia="zh-CN"/>
              </w:rPr>
              <w:t>显示</w:t>
            </w:r>
            <w:r>
              <w:rPr>
                <w:rFonts w:hint="eastAsia" w:ascii="宋体" w:hAnsi="宋体" w:cs="宋体"/>
                <w:sz w:val="24"/>
                <w:szCs w:val="24"/>
              </w:rPr>
              <w:t>，赣粤运河是推进长江、珠江两大水系运河连通的战略性工程，是国家高等级航道网“四纵四横两网”中的纵三——浙赣粤通道的重要组成部分。赣粤运河沿线规划13个梯级枢纽，按内河Ⅱ级航道标准规划建设。</w:t>
            </w:r>
            <w:r>
              <w:rPr>
                <w:rFonts w:hint="eastAsia" w:ascii="宋体" w:hAnsi="宋体" w:cs="宋体"/>
                <w:sz w:val="24"/>
                <w:szCs w:val="24"/>
                <w:lang w:val="en-US" w:eastAsia="zh-CN"/>
              </w:rPr>
              <w:t>2024年</w:t>
            </w:r>
            <w:r>
              <w:rPr>
                <w:rFonts w:hint="eastAsia" w:ascii="宋体" w:hAnsi="宋体" w:cs="宋体"/>
                <w:sz w:val="24"/>
                <w:szCs w:val="24"/>
              </w:rPr>
              <w:t>10月9日，江西公共资源交易网发布了[江西省交通运输厅赣粤运河工程预可行性研究采购项目]中标结果，中标单位为中交水运规划设计院有限公司、交通运输部规划研究院、华设设计集团股份有限公司、广东省交通运输规划研究中心。</w:t>
            </w:r>
          </w:p>
          <w:p>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公司将持续关注项目建设进展情况，</w:t>
            </w:r>
            <w:r>
              <w:rPr>
                <w:rFonts w:hint="eastAsia" w:ascii="宋体" w:hAnsi="宋体" w:cs="宋体"/>
                <w:sz w:val="24"/>
                <w:szCs w:val="24"/>
                <w:lang w:val="en-US" w:eastAsia="zh-CN"/>
              </w:rPr>
              <w:t>充</w:t>
            </w:r>
            <w:r>
              <w:rPr>
                <w:rFonts w:hint="eastAsia" w:ascii="宋体" w:hAnsi="宋体" w:cs="宋体"/>
                <w:sz w:val="24"/>
                <w:szCs w:val="24"/>
              </w:rPr>
              <w:t>分发挥区域、产能及一体化优势</w:t>
            </w:r>
            <w:r>
              <w:rPr>
                <w:rFonts w:hint="eastAsia" w:ascii="宋体" w:hAnsi="宋体" w:cs="宋体"/>
                <w:sz w:val="24"/>
                <w:szCs w:val="24"/>
                <w:lang w:eastAsia="zh-CN"/>
              </w:rPr>
              <w:t>，</w:t>
            </w:r>
            <w:r>
              <w:rPr>
                <w:rFonts w:hint="eastAsia" w:ascii="宋体" w:hAnsi="宋体" w:cs="宋体"/>
                <w:sz w:val="24"/>
                <w:szCs w:val="24"/>
              </w:rPr>
              <w:t>积极与有关方面洽谈，争取民爆相关业务</w:t>
            </w:r>
            <w:r>
              <w:rPr>
                <w:rFonts w:hint="eastAsia" w:ascii="宋体" w:hAnsi="宋体" w:cs="宋体"/>
                <w:sz w:val="24"/>
                <w:szCs w:val="24"/>
                <w:lang w:eastAsia="zh-CN"/>
              </w:rPr>
              <w:t>，</w:t>
            </w:r>
            <w:r>
              <w:rPr>
                <w:rFonts w:hint="eastAsia" w:ascii="宋体" w:hAnsi="宋体" w:cs="宋体"/>
                <w:sz w:val="24"/>
                <w:szCs w:val="24"/>
              </w:rPr>
              <w:t>为</w:t>
            </w:r>
            <w:r>
              <w:rPr>
                <w:rFonts w:hint="eastAsia" w:ascii="宋体" w:hAnsi="宋体" w:cs="宋体"/>
                <w:sz w:val="24"/>
                <w:szCs w:val="24"/>
                <w:lang w:val="en-US" w:eastAsia="zh-CN"/>
              </w:rPr>
              <w:t>浙赣粤</w:t>
            </w:r>
            <w:r>
              <w:rPr>
                <w:rFonts w:hint="eastAsia" w:ascii="宋体" w:hAnsi="宋体" w:cs="宋体"/>
                <w:sz w:val="24"/>
                <w:szCs w:val="24"/>
              </w:rPr>
              <w:t>大运河的开建作准备。</w:t>
            </w: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公司民爆器材产品除在省内全覆盖外，</w:t>
            </w:r>
            <w:r>
              <w:rPr>
                <w:rFonts w:hint="eastAsia" w:ascii="宋体" w:hAnsi="宋体" w:cs="宋体"/>
                <w:sz w:val="24"/>
                <w:szCs w:val="24"/>
                <w:lang w:val="en-US" w:eastAsia="zh-CN"/>
              </w:rPr>
              <w:t>广东、浙江地区</w:t>
            </w:r>
            <w:r>
              <w:rPr>
                <w:rFonts w:hint="eastAsia" w:ascii="宋体" w:hAnsi="宋体" w:cs="宋体"/>
                <w:sz w:val="24"/>
                <w:szCs w:val="24"/>
              </w:rPr>
              <w:t>也是公司民爆器材产品销售的重点区域之一。</w:t>
            </w:r>
            <w:r>
              <w:rPr>
                <w:rFonts w:hint="eastAsia" w:ascii="宋体" w:hAnsi="宋体" w:cs="宋体"/>
                <w:sz w:val="24"/>
                <w:szCs w:val="24"/>
                <w:lang w:val="en-US" w:eastAsia="zh-CN"/>
              </w:rPr>
              <w:t>随着浙赣粤大运河项目</w:t>
            </w:r>
            <w:r>
              <w:rPr>
                <w:rFonts w:hint="eastAsia" w:ascii="宋体" w:hAnsi="宋体" w:cs="宋体"/>
                <w:sz w:val="24"/>
                <w:szCs w:val="24"/>
              </w:rPr>
              <w:t>的推进，对公司未来几年工业炸药、雷管销售及爆破工程业务构成显著利好，对工业炸药及雷管的需求预计出现显著增长，对公司利润提升将产生积极作用。</w:t>
            </w:r>
          </w:p>
          <w:p>
            <w:pPr>
              <w:adjustRightInd w:val="0"/>
              <w:snapToGrid w:val="0"/>
              <w:spacing w:line="336" w:lineRule="auto"/>
              <w:ind w:firstLine="480" w:firstLineChars="200"/>
              <w:rPr>
                <w:rFonts w:ascii="宋体" w:hAnsi="宋体" w:cs="宋体"/>
                <w:sz w:val="24"/>
                <w:szCs w:val="24"/>
              </w:rPr>
            </w:pPr>
          </w:p>
          <w:p>
            <w:pPr>
              <w:adjustRightInd w:val="0"/>
              <w:snapToGrid w:val="0"/>
              <w:spacing w:line="336"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3、目前民爆行业集中度的变化趋势情况如何，公司未来如何应对？</w:t>
            </w:r>
          </w:p>
          <w:p>
            <w:pPr>
              <w:adjustRightInd w:val="0"/>
              <w:snapToGrid w:val="0"/>
              <w:spacing w:line="336"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答：随着民爆企业重组整合稳步推进，行业集中度持续提升。根据中国爆破行业协会数据，2023年，行业排名前20家企业集团合计生产总值达352亿元，约占行业总产值的81%，所占比例比2022年增长约5个百分点。行业排名前20家企业集团合计炸药产量达381万吨，约占行业总产量的83%，所占比例比2022年增长约5个百分点。在产业政策的引领下，我国民爆行业企业数量不断压缩，一批中小产能被淘汰，行业集中度不断提升。在政策的长期引领下，预计未来民爆行业集中度将继续提升。</w:t>
            </w:r>
          </w:p>
          <w:p>
            <w:pPr>
              <w:adjustRightInd w:val="0"/>
              <w:snapToGrid w:val="0"/>
              <w:spacing w:line="336"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江西省是全国率先完成省内民爆资产整合的省份之一，未来公司将顺应民爆行业结构调整及重组整合政策导向，落实公司“一体两翼”发展战略，以市场和客户需求为导向，持续优化业务结构，进一步加大民爆产业开拓，持续推进一体化经营，推动民爆一体化产业做强做优做大。</w:t>
            </w:r>
          </w:p>
          <w:p>
            <w:pPr>
              <w:adjustRightInd w:val="0"/>
              <w:snapToGrid w:val="0"/>
              <w:spacing w:line="336" w:lineRule="auto"/>
              <w:ind w:firstLine="480" w:firstLineChars="200"/>
              <w:rPr>
                <w:rFonts w:hint="default" w:ascii="宋体" w:hAnsi="宋体" w:cs="宋体"/>
                <w:sz w:val="24"/>
                <w:szCs w:val="24"/>
                <w:lang w:val="en-US" w:eastAsia="zh-CN"/>
              </w:rPr>
            </w:pP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、公司含能材料项目建设最新进展情况如何？</w:t>
            </w:r>
          </w:p>
          <w:p>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lang w:val="en-US" w:eastAsia="zh-CN"/>
              </w:rPr>
              <w:t>答：</w:t>
            </w:r>
            <w:r>
              <w:rPr>
                <w:rFonts w:hint="eastAsia" w:ascii="宋体" w:hAnsi="宋体" w:cs="宋体"/>
                <w:sz w:val="24"/>
                <w:szCs w:val="24"/>
              </w:rPr>
              <w:t>公司含能材料项目于今年5月初取得国家有关部门核准批文后，6月19日公司完成对项目实施主体江西九江国泰新材料有限公司注册资本金增至3.5亿元工作。目前该项目进展顺利，具体情况</w:t>
            </w:r>
            <w:r>
              <w:rPr>
                <w:rFonts w:hint="eastAsia" w:ascii="宋体" w:hAnsi="宋体" w:cs="宋体"/>
                <w:sz w:val="24"/>
                <w:szCs w:val="24"/>
                <w:lang w:val="en-US" w:eastAsia="zh-CN"/>
              </w:rPr>
              <w:t>详见</w:t>
            </w:r>
            <w:r>
              <w:rPr>
                <w:rFonts w:hint="eastAsia" w:ascii="宋体" w:hAnsi="宋体" w:cs="宋体"/>
                <w:sz w:val="24"/>
                <w:szCs w:val="24"/>
              </w:rPr>
              <w:t>公司</w:t>
            </w:r>
            <w:r>
              <w:rPr>
                <w:rFonts w:hint="eastAsia" w:ascii="宋体" w:hAnsi="宋体" w:cs="宋体"/>
                <w:sz w:val="24"/>
                <w:szCs w:val="24"/>
                <w:lang w:val="en-US" w:eastAsia="zh-CN"/>
              </w:rPr>
              <w:t>于2024年10月9日披露的《</w:t>
            </w:r>
            <w:r>
              <w:rPr>
                <w:rFonts w:hint="eastAsia" w:ascii="宋体" w:hAnsi="宋体" w:cs="宋体"/>
                <w:sz w:val="24"/>
                <w:szCs w:val="24"/>
              </w:rPr>
              <w:t>关于全资子公司江西九江国泰新材料有限公司建设含能新材料生产线项目进展情况的自愿性信息披露公告</w:t>
            </w:r>
            <w:r>
              <w:rPr>
                <w:rFonts w:hint="eastAsia" w:ascii="宋体" w:hAnsi="宋体" w:cs="宋体"/>
                <w:sz w:val="24"/>
                <w:szCs w:val="24"/>
                <w:lang w:val="en-US" w:eastAsia="zh-CN"/>
              </w:rPr>
              <w:t>》</w:t>
            </w:r>
            <w:r>
              <w:rPr>
                <w:rFonts w:hint="eastAsia" w:ascii="宋体" w:hAnsi="宋体" w:cs="宋体"/>
                <w:sz w:val="24"/>
                <w:szCs w:val="24"/>
              </w:rPr>
              <w:t>（2024-临045号）。</w:t>
            </w:r>
          </w:p>
          <w:p>
            <w:pPr>
              <w:adjustRightInd w:val="0"/>
              <w:snapToGrid w:val="0"/>
              <w:spacing w:line="336" w:lineRule="auto"/>
              <w:ind w:firstLine="0" w:firstLineChars="0"/>
              <w:rPr>
                <w:rFonts w:ascii="宋体" w:hAnsi="宋体" w:cs="宋体"/>
                <w:sz w:val="24"/>
                <w:szCs w:val="24"/>
              </w:rPr>
            </w:pP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、公司</w:t>
            </w:r>
            <w:r>
              <w:rPr>
                <w:rFonts w:hint="eastAsia" w:ascii="宋体" w:hAnsi="宋体" w:cs="宋体"/>
                <w:sz w:val="24"/>
                <w:szCs w:val="24"/>
                <w:lang w:val="en-US" w:eastAsia="zh-CN"/>
              </w:rPr>
              <w:t>小型固体火箭发动机业务发展</w:t>
            </w:r>
            <w:r>
              <w:rPr>
                <w:rFonts w:hint="eastAsia" w:ascii="宋体" w:hAnsi="宋体" w:cs="宋体"/>
                <w:sz w:val="24"/>
                <w:szCs w:val="24"/>
              </w:rPr>
              <w:t>情况？</w:t>
            </w:r>
          </w:p>
          <w:p>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答：公司全资子公司新余国泰自主研发生产的小型固体火箭发动机应用于固定翼无人靶机的发射，使其迅速飞离发射器并加速达到预定飞行速度。该产品具备结构紧凑</w:t>
            </w:r>
            <w:r>
              <w:rPr>
                <w:rFonts w:hint="eastAsia" w:ascii="宋体" w:hAnsi="宋体" w:cs="宋体"/>
                <w:sz w:val="24"/>
                <w:szCs w:val="24"/>
                <w:lang w:eastAsia="zh-CN"/>
              </w:rPr>
              <w:t>、</w:t>
            </w:r>
            <w:r>
              <w:rPr>
                <w:rFonts w:hint="eastAsia" w:ascii="宋体" w:hAnsi="宋体" w:cs="宋体"/>
                <w:sz w:val="24"/>
                <w:szCs w:val="24"/>
              </w:rPr>
              <w:t>体积小</w:t>
            </w:r>
            <w:r>
              <w:rPr>
                <w:rFonts w:hint="eastAsia" w:ascii="宋体" w:hAnsi="宋体" w:cs="宋体"/>
                <w:sz w:val="24"/>
                <w:szCs w:val="24"/>
                <w:lang w:eastAsia="zh-CN"/>
              </w:rPr>
              <w:t>、</w:t>
            </w:r>
            <w:r>
              <w:rPr>
                <w:rFonts w:hint="eastAsia" w:ascii="宋体" w:hAnsi="宋体" w:cs="宋体"/>
                <w:sz w:val="24"/>
                <w:szCs w:val="24"/>
              </w:rPr>
              <w:t>推力大</w:t>
            </w:r>
            <w:r>
              <w:rPr>
                <w:rFonts w:hint="eastAsia" w:ascii="宋体" w:hAnsi="宋体" w:cs="宋体"/>
                <w:sz w:val="24"/>
                <w:szCs w:val="24"/>
                <w:lang w:eastAsia="zh-CN"/>
              </w:rPr>
              <w:t>、</w:t>
            </w:r>
            <w:r>
              <w:rPr>
                <w:rFonts w:hint="eastAsia" w:ascii="宋体" w:hAnsi="宋体" w:cs="宋体"/>
                <w:sz w:val="24"/>
                <w:szCs w:val="24"/>
              </w:rPr>
              <w:t>操作简单</w:t>
            </w:r>
            <w:r>
              <w:rPr>
                <w:rFonts w:hint="eastAsia" w:ascii="宋体" w:hAnsi="宋体" w:cs="宋体"/>
                <w:sz w:val="24"/>
                <w:szCs w:val="24"/>
                <w:lang w:eastAsia="zh-CN"/>
              </w:rPr>
              <w:t>、</w:t>
            </w:r>
            <w:r>
              <w:rPr>
                <w:rFonts w:hint="eastAsia" w:ascii="宋体" w:hAnsi="宋体" w:cs="宋体"/>
                <w:sz w:val="24"/>
                <w:szCs w:val="24"/>
              </w:rPr>
              <w:t>响应快速等特点。其发射技术和产品已经系列化，市场需求量巨大。</w:t>
            </w:r>
          </w:p>
          <w:p>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新余国泰已取得武器装备质量体系认证及二级保密资质证书，目前已定型8KNs型、14KNs型、17KNs型、20KNs型、28KNs型等共6种型号，可满足不同型号的无人靶机发射需求。今年初，新余国泰成立了军工防务事务部，将此业务进行专业化管理和独立化经营</w:t>
            </w:r>
            <w:r>
              <w:rPr>
                <w:rFonts w:hint="eastAsia" w:ascii="宋体" w:hAnsi="宋体" w:cs="宋体"/>
                <w:sz w:val="24"/>
                <w:szCs w:val="24"/>
                <w:lang w:eastAsia="zh-CN"/>
              </w:rPr>
              <w:t>。</w:t>
            </w:r>
          </w:p>
          <w:p>
            <w:pPr>
              <w:adjustRightInd w:val="0"/>
              <w:snapToGrid w:val="0"/>
              <w:spacing w:line="336" w:lineRule="auto"/>
              <w:rPr>
                <w:rFonts w:ascii="宋体" w:hAnsi="宋体" w:cs="宋体"/>
                <w:sz w:val="24"/>
                <w:szCs w:val="24"/>
              </w:rPr>
            </w:pP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、公司有哪些重要的技术创新或研发成果？</w:t>
            </w:r>
          </w:p>
          <w:p>
            <w:pPr>
              <w:adjustRightInd w:val="0"/>
              <w:snapToGrid w:val="0"/>
              <w:spacing w:line="336" w:lineRule="auto"/>
              <w:ind w:firstLine="480" w:firstLineChars="200"/>
              <w:rPr>
                <w:rFonts w:hint="default" w:ascii="宋体" w:hAnsi="宋体" w:cs="宋体"/>
                <w:sz w:val="24"/>
                <w:szCs w:val="24"/>
                <w:lang w:val="en-US"/>
              </w:rPr>
            </w:pPr>
            <w:r>
              <w:rPr>
                <w:rFonts w:hint="eastAsia" w:ascii="宋体" w:hAnsi="宋体" w:cs="宋体"/>
                <w:sz w:val="24"/>
                <w:szCs w:val="24"/>
              </w:rPr>
              <w:t>答：</w:t>
            </w:r>
            <w:r>
              <w:rPr>
                <w:rFonts w:hint="eastAsia" w:ascii="宋体" w:hAnsi="宋体" w:cs="宋体"/>
                <w:sz w:val="24"/>
                <w:szCs w:val="24"/>
                <w:lang w:val="en-US" w:eastAsia="zh-CN"/>
              </w:rPr>
              <w:t>10月30日，国家工信部公示了“2024年跨行业跨领域工业互联网平台动态评价结果”，共计49家行业优秀的工业互联网企业入选。国泰集团再度入选“双跨”平台企业，并获评B级。</w:t>
            </w:r>
          </w:p>
          <w:p>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lang w:val="en-US" w:eastAsia="zh-CN"/>
              </w:rPr>
              <w:t>另外，</w:t>
            </w:r>
            <w:r>
              <w:rPr>
                <w:rFonts w:hint="eastAsia" w:ascii="宋体" w:hAnsi="宋体" w:cs="宋体"/>
                <w:sz w:val="24"/>
                <w:szCs w:val="24"/>
              </w:rPr>
              <w:t>公司拥有国家级博士后科研工作站，建有多个省级企业技术中心、江西省民爆器材与爆破技术工程研究中心等创新平台。公司是首批国民经济动员中心、工信部智能制造试点示范企业，两化融合管理体系贯标试点企业，江西省制造业单项冠军企业，具有国内领先的技术研发能力。</w:t>
            </w:r>
          </w:p>
          <w:p>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未来，国泰集团将持续提升以民爆一体化产业为主体、以军工新材料产业和轨交自动化及信息化产业为支撑的“一体两翼”发展格局。坚持目标导向，着力深化改革，坚持把创新引领作为第一动力，不断推动公司高质量跨越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center"/>
          </w:tcPr>
          <w:p>
            <w:pPr>
              <w:pStyle w:val="25"/>
              <w:spacing w:line="348" w:lineRule="auto"/>
              <w:rPr>
                <w:rFonts w:ascii="Times New Roman" w:hAnsi="Times New Roman"/>
                <w:b/>
                <w:bCs/>
                <w:iCs/>
                <w:sz w:val="24"/>
              </w:rPr>
            </w:pPr>
            <w:r>
              <w:rPr>
                <w:rFonts w:ascii="Times New Roman" w:hAnsi="Times New Roman"/>
                <w:b/>
                <w:bCs/>
                <w:iCs/>
                <w:sz w:val="24"/>
              </w:rPr>
              <w:t>附件清单</w:t>
            </w:r>
          </w:p>
        </w:tc>
        <w:tc>
          <w:tcPr>
            <w:tcW w:w="6996" w:type="dxa"/>
            <w:vAlign w:val="center"/>
          </w:tcPr>
          <w:p>
            <w:pPr>
              <w:pStyle w:val="25"/>
              <w:spacing w:line="348" w:lineRule="auto"/>
              <w:rPr>
                <w:rFonts w:ascii="Times New Roman" w:hAnsi="Times New Roman"/>
                <w:bCs/>
                <w:iCs/>
                <w:sz w:val="24"/>
              </w:rPr>
            </w:pPr>
            <w:r>
              <w:rPr>
                <w:rFonts w:ascii="Times New Roman" w:hAnsi="Times New Roman"/>
                <w:bCs/>
                <w:iCs/>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25"/>
              <w:spacing w:line="348" w:lineRule="auto"/>
              <w:rPr>
                <w:rFonts w:ascii="Times New Roman" w:hAnsi="Times New Roman"/>
                <w:b/>
                <w:bCs/>
                <w:iCs/>
                <w:sz w:val="24"/>
              </w:rPr>
            </w:pPr>
            <w:r>
              <w:rPr>
                <w:rFonts w:ascii="Times New Roman" w:hAnsi="Times New Roman"/>
                <w:b/>
                <w:bCs/>
                <w:iCs/>
                <w:sz w:val="24"/>
              </w:rPr>
              <w:t>日期</w:t>
            </w:r>
          </w:p>
        </w:tc>
        <w:tc>
          <w:tcPr>
            <w:tcW w:w="6996" w:type="dxa"/>
            <w:vAlign w:val="center"/>
          </w:tcPr>
          <w:p>
            <w:pPr>
              <w:pStyle w:val="25"/>
              <w:spacing w:line="348" w:lineRule="auto"/>
              <w:rPr>
                <w:rFonts w:ascii="Times New Roman" w:hAnsi="Times New Roman"/>
                <w:bCs/>
                <w:iCs/>
                <w:sz w:val="24"/>
              </w:rPr>
            </w:pPr>
            <w:r>
              <w:rPr>
                <w:rFonts w:ascii="Times New Roman" w:hAnsi="Times New Roman"/>
                <w:bCs/>
                <w:iCs/>
                <w:sz w:val="24"/>
              </w:rPr>
              <w:t>202</w:t>
            </w:r>
            <w:r>
              <w:rPr>
                <w:rFonts w:hint="eastAsia" w:ascii="Times New Roman" w:hAnsi="Times New Roman"/>
                <w:bCs/>
                <w:iCs/>
                <w:sz w:val="24"/>
              </w:rPr>
              <w:t>4</w:t>
            </w:r>
            <w:r>
              <w:rPr>
                <w:rFonts w:ascii="Times New Roman" w:hAnsi="Times New Roman"/>
                <w:bCs/>
                <w:iCs/>
                <w:sz w:val="24"/>
              </w:rPr>
              <w:t>年</w:t>
            </w:r>
            <w:r>
              <w:rPr>
                <w:rFonts w:hint="eastAsia" w:ascii="Times New Roman" w:hAnsi="Times New Roman"/>
                <w:bCs/>
                <w:iCs/>
                <w:sz w:val="24"/>
                <w:lang w:val="en-US" w:eastAsia="zh-CN"/>
              </w:rPr>
              <w:t>11</w:t>
            </w:r>
            <w:r>
              <w:rPr>
                <w:rFonts w:hint="eastAsia" w:ascii="Times New Roman" w:hAnsi="Times New Roman"/>
                <w:bCs/>
                <w:iCs/>
                <w:sz w:val="24"/>
              </w:rPr>
              <w:t>月</w:t>
            </w:r>
            <w:r>
              <w:rPr>
                <w:rFonts w:hint="eastAsia" w:ascii="Times New Roman" w:hAnsi="Times New Roman"/>
                <w:bCs/>
                <w:iCs/>
                <w:sz w:val="24"/>
                <w:lang w:val="en-US" w:eastAsia="zh-CN"/>
              </w:rPr>
              <w:t>4</w:t>
            </w:r>
            <w:r>
              <w:rPr>
                <w:rFonts w:ascii="Times New Roman" w:hAnsi="Times New Roman"/>
                <w:bCs/>
                <w:iCs/>
                <w:sz w:val="24"/>
              </w:rPr>
              <w:t>日</w:t>
            </w:r>
          </w:p>
        </w:tc>
      </w:tr>
    </w:tbl>
    <w:p>
      <w:pPr>
        <w:rPr>
          <w:rFonts w:ascii="Times New Roman" w:hAnsi="Times New Roman"/>
          <w:sz w:val="28"/>
          <w:szCs w:val="28"/>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6294211"/>
    </w:sdtPr>
    <w:sdtContent>
      <w:p>
        <w:pPr>
          <w:pStyle w:val="8"/>
          <w:jc w:val="center"/>
        </w:pPr>
        <w:r>
          <w:fldChar w:fldCharType="begin"/>
        </w:r>
        <w:r>
          <w:instrText xml:space="preserve">PAGE   \* MERGEFORMAT</w:instrText>
        </w:r>
        <w:r>
          <w:fldChar w:fldCharType="separate"/>
        </w:r>
        <w:r>
          <w:rPr>
            <w:lang w:val="zh-CN"/>
          </w:rP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Yjg5NzJmMjE3YWM3NWQ2Mzg1MDAyNjc5MjRlMDMifQ=="/>
  </w:docVars>
  <w:rsids>
    <w:rsidRoot w:val="00172A27"/>
    <w:rsid w:val="00005BE5"/>
    <w:rsid w:val="00012A14"/>
    <w:rsid w:val="00051401"/>
    <w:rsid w:val="000729AD"/>
    <w:rsid w:val="00075373"/>
    <w:rsid w:val="000B3CDB"/>
    <w:rsid w:val="000B5A24"/>
    <w:rsid w:val="000D5F99"/>
    <w:rsid w:val="000E7FD8"/>
    <w:rsid w:val="000F3952"/>
    <w:rsid w:val="00111F29"/>
    <w:rsid w:val="001408E3"/>
    <w:rsid w:val="0014474A"/>
    <w:rsid w:val="001549ED"/>
    <w:rsid w:val="00170126"/>
    <w:rsid w:val="00172A27"/>
    <w:rsid w:val="00173BDF"/>
    <w:rsid w:val="0019468E"/>
    <w:rsid w:val="001C5BB5"/>
    <w:rsid w:val="001F4888"/>
    <w:rsid w:val="002037D4"/>
    <w:rsid w:val="00260223"/>
    <w:rsid w:val="00282BE8"/>
    <w:rsid w:val="002A4B4C"/>
    <w:rsid w:val="002D7F64"/>
    <w:rsid w:val="00303F67"/>
    <w:rsid w:val="003215D0"/>
    <w:rsid w:val="003333AB"/>
    <w:rsid w:val="00350817"/>
    <w:rsid w:val="00370EA2"/>
    <w:rsid w:val="00415011"/>
    <w:rsid w:val="004502D8"/>
    <w:rsid w:val="004609B1"/>
    <w:rsid w:val="004762D3"/>
    <w:rsid w:val="004D0367"/>
    <w:rsid w:val="004D0F55"/>
    <w:rsid w:val="004E12F1"/>
    <w:rsid w:val="004F05BD"/>
    <w:rsid w:val="0054333A"/>
    <w:rsid w:val="005508BF"/>
    <w:rsid w:val="005516FE"/>
    <w:rsid w:val="005A56BD"/>
    <w:rsid w:val="005B0351"/>
    <w:rsid w:val="005D3B41"/>
    <w:rsid w:val="00610F76"/>
    <w:rsid w:val="00612FCB"/>
    <w:rsid w:val="00621D23"/>
    <w:rsid w:val="006267C4"/>
    <w:rsid w:val="00654E41"/>
    <w:rsid w:val="00660154"/>
    <w:rsid w:val="00660AD4"/>
    <w:rsid w:val="006A76EB"/>
    <w:rsid w:val="00714BDD"/>
    <w:rsid w:val="00726C8D"/>
    <w:rsid w:val="00735737"/>
    <w:rsid w:val="007572EB"/>
    <w:rsid w:val="007A6170"/>
    <w:rsid w:val="007D2B30"/>
    <w:rsid w:val="007D484F"/>
    <w:rsid w:val="00807D0E"/>
    <w:rsid w:val="00837B23"/>
    <w:rsid w:val="00856970"/>
    <w:rsid w:val="00900289"/>
    <w:rsid w:val="009E3246"/>
    <w:rsid w:val="00A6191B"/>
    <w:rsid w:val="00A628F4"/>
    <w:rsid w:val="00A70EAF"/>
    <w:rsid w:val="00A71EBF"/>
    <w:rsid w:val="00A74DB1"/>
    <w:rsid w:val="00AE2EA5"/>
    <w:rsid w:val="00AE7B95"/>
    <w:rsid w:val="00AF217D"/>
    <w:rsid w:val="00B008D6"/>
    <w:rsid w:val="00B13B61"/>
    <w:rsid w:val="00B45C19"/>
    <w:rsid w:val="00B53767"/>
    <w:rsid w:val="00B636F0"/>
    <w:rsid w:val="00B67E74"/>
    <w:rsid w:val="00B72B1E"/>
    <w:rsid w:val="00B95F24"/>
    <w:rsid w:val="00BA60E8"/>
    <w:rsid w:val="00BB66D9"/>
    <w:rsid w:val="00BC6896"/>
    <w:rsid w:val="00BE3D4A"/>
    <w:rsid w:val="00BF44E6"/>
    <w:rsid w:val="00C528EC"/>
    <w:rsid w:val="00C5456E"/>
    <w:rsid w:val="00C9040D"/>
    <w:rsid w:val="00C96D4E"/>
    <w:rsid w:val="00CC5CA9"/>
    <w:rsid w:val="00CF0CB9"/>
    <w:rsid w:val="00D466A6"/>
    <w:rsid w:val="00D70E55"/>
    <w:rsid w:val="00D764E4"/>
    <w:rsid w:val="00D82ADB"/>
    <w:rsid w:val="00E06D0E"/>
    <w:rsid w:val="00E23F3C"/>
    <w:rsid w:val="00E310B8"/>
    <w:rsid w:val="00E62CB1"/>
    <w:rsid w:val="00E67BAB"/>
    <w:rsid w:val="00EA2A0B"/>
    <w:rsid w:val="00EB3F3E"/>
    <w:rsid w:val="00ED68F4"/>
    <w:rsid w:val="00EF628C"/>
    <w:rsid w:val="00F071C8"/>
    <w:rsid w:val="00F42141"/>
    <w:rsid w:val="00F846A9"/>
    <w:rsid w:val="00FC0EF6"/>
    <w:rsid w:val="00FC7064"/>
    <w:rsid w:val="00FE1056"/>
    <w:rsid w:val="00FE18DA"/>
    <w:rsid w:val="012F77FB"/>
    <w:rsid w:val="01663B09"/>
    <w:rsid w:val="017052C2"/>
    <w:rsid w:val="01BE6AF9"/>
    <w:rsid w:val="0220070B"/>
    <w:rsid w:val="0272649F"/>
    <w:rsid w:val="031B1925"/>
    <w:rsid w:val="040A0C52"/>
    <w:rsid w:val="04414F29"/>
    <w:rsid w:val="057E50FA"/>
    <w:rsid w:val="062E19DF"/>
    <w:rsid w:val="06B74D94"/>
    <w:rsid w:val="079F2DB5"/>
    <w:rsid w:val="07DD5908"/>
    <w:rsid w:val="086C2CFF"/>
    <w:rsid w:val="086F3FA3"/>
    <w:rsid w:val="08C40CF3"/>
    <w:rsid w:val="09C6525C"/>
    <w:rsid w:val="09F04B00"/>
    <w:rsid w:val="0A1D72FB"/>
    <w:rsid w:val="0A9172F3"/>
    <w:rsid w:val="0AD97127"/>
    <w:rsid w:val="0C112E71"/>
    <w:rsid w:val="0C702A5E"/>
    <w:rsid w:val="0E776918"/>
    <w:rsid w:val="0E8F0CEC"/>
    <w:rsid w:val="0EA06710"/>
    <w:rsid w:val="0FAE4AFF"/>
    <w:rsid w:val="0FF51325"/>
    <w:rsid w:val="108D02AC"/>
    <w:rsid w:val="10A9384D"/>
    <w:rsid w:val="112573D4"/>
    <w:rsid w:val="11882673"/>
    <w:rsid w:val="11975CCC"/>
    <w:rsid w:val="126E213E"/>
    <w:rsid w:val="12C41C61"/>
    <w:rsid w:val="12F31613"/>
    <w:rsid w:val="141F5C26"/>
    <w:rsid w:val="1450602A"/>
    <w:rsid w:val="1491634A"/>
    <w:rsid w:val="14D507B4"/>
    <w:rsid w:val="15146085"/>
    <w:rsid w:val="158F0E59"/>
    <w:rsid w:val="15E962C8"/>
    <w:rsid w:val="17090DA6"/>
    <w:rsid w:val="1761330E"/>
    <w:rsid w:val="177855D8"/>
    <w:rsid w:val="187F55E4"/>
    <w:rsid w:val="18EF7F00"/>
    <w:rsid w:val="19297D6C"/>
    <w:rsid w:val="19CC5666"/>
    <w:rsid w:val="1ACA7824"/>
    <w:rsid w:val="1B153B0F"/>
    <w:rsid w:val="1B2D6D86"/>
    <w:rsid w:val="1BD92B22"/>
    <w:rsid w:val="1CCF12B9"/>
    <w:rsid w:val="1CEA0CB6"/>
    <w:rsid w:val="1D590854"/>
    <w:rsid w:val="1DB47768"/>
    <w:rsid w:val="1E7233D8"/>
    <w:rsid w:val="1FED4FD6"/>
    <w:rsid w:val="20333C9A"/>
    <w:rsid w:val="203606F7"/>
    <w:rsid w:val="210420AB"/>
    <w:rsid w:val="226E1C50"/>
    <w:rsid w:val="232C2FB8"/>
    <w:rsid w:val="23C737F1"/>
    <w:rsid w:val="2513238F"/>
    <w:rsid w:val="2522011E"/>
    <w:rsid w:val="26177D1E"/>
    <w:rsid w:val="26FA6683"/>
    <w:rsid w:val="27A41130"/>
    <w:rsid w:val="28740B91"/>
    <w:rsid w:val="29333E09"/>
    <w:rsid w:val="293765A7"/>
    <w:rsid w:val="2A396FA8"/>
    <w:rsid w:val="2AC55599"/>
    <w:rsid w:val="2ADE3EBE"/>
    <w:rsid w:val="2B2A2B97"/>
    <w:rsid w:val="2C742F1C"/>
    <w:rsid w:val="2C8974F1"/>
    <w:rsid w:val="2C8D1007"/>
    <w:rsid w:val="2D4F45EC"/>
    <w:rsid w:val="2DBC19FE"/>
    <w:rsid w:val="2E484523"/>
    <w:rsid w:val="30091B5C"/>
    <w:rsid w:val="301402BF"/>
    <w:rsid w:val="30371B9A"/>
    <w:rsid w:val="31A53D8D"/>
    <w:rsid w:val="3208431E"/>
    <w:rsid w:val="32440EDC"/>
    <w:rsid w:val="32654D10"/>
    <w:rsid w:val="326C0551"/>
    <w:rsid w:val="33690F44"/>
    <w:rsid w:val="33CE2331"/>
    <w:rsid w:val="356B0A3B"/>
    <w:rsid w:val="362C4BA3"/>
    <w:rsid w:val="36704ABB"/>
    <w:rsid w:val="373C3BA7"/>
    <w:rsid w:val="37F25E82"/>
    <w:rsid w:val="385653BD"/>
    <w:rsid w:val="38CD681E"/>
    <w:rsid w:val="38DC5496"/>
    <w:rsid w:val="39760E2C"/>
    <w:rsid w:val="39AE48B3"/>
    <w:rsid w:val="39D37144"/>
    <w:rsid w:val="39D4375B"/>
    <w:rsid w:val="39D964F3"/>
    <w:rsid w:val="39DC36C8"/>
    <w:rsid w:val="3A3042F0"/>
    <w:rsid w:val="3A5B4367"/>
    <w:rsid w:val="3A811C01"/>
    <w:rsid w:val="3A953F23"/>
    <w:rsid w:val="3ABA309F"/>
    <w:rsid w:val="3BD0316A"/>
    <w:rsid w:val="3BEE40FB"/>
    <w:rsid w:val="3C5C4961"/>
    <w:rsid w:val="3E7551CA"/>
    <w:rsid w:val="3ED846AD"/>
    <w:rsid w:val="3FD2226D"/>
    <w:rsid w:val="401B340B"/>
    <w:rsid w:val="40293542"/>
    <w:rsid w:val="4037674B"/>
    <w:rsid w:val="40F912CC"/>
    <w:rsid w:val="41557C10"/>
    <w:rsid w:val="42A329D9"/>
    <w:rsid w:val="431B63A1"/>
    <w:rsid w:val="469B1418"/>
    <w:rsid w:val="46CE0C62"/>
    <w:rsid w:val="46F56910"/>
    <w:rsid w:val="47D546FC"/>
    <w:rsid w:val="481E5EE0"/>
    <w:rsid w:val="484F0AC7"/>
    <w:rsid w:val="48562A5D"/>
    <w:rsid w:val="48D2515B"/>
    <w:rsid w:val="4933371F"/>
    <w:rsid w:val="49B37CF3"/>
    <w:rsid w:val="4A1C0F29"/>
    <w:rsid w:val="4A9F3C99"/>
    <w:rsid w:val="4B7B1369"/>
    <w:rsid w:val="4BDB5432"/>
    <w:rsid w:val="4C0E4530"/>
    <w:rsid w:val="4D171D2A"/>
    <w:rsid w:val="4D4B521F"/>
    <w:rsid w:val="4DF5519C"/>
    <w:rsid w:val="4E004A5C"/>
    <w:rsid w:val="4E9133C2"/>
    <w:rsid w:val="4EED3194"/>
    <w:rsid w:val="4F376605"/>
    <w:rsid w:val="50CE348B"/>
    <w:rsid w:val="51A83C8D"/>
    <w:rsid w:val="524D6C8F"/>
    <w:rsid w:val="53811229"/>
    <w:rsid w:val="53E607EA"/>
    <w:rsid w:val="546F389A"/>
    <w:rsid w:val="554C3B9F"/>
    <w:rsid w:val="557378ED"/>
    <w:rsid w:val="55E40C52"/>
    <w:rsid w:val="57204F99"/>
    <w:rsid w:val="579C7722"/>
    <w:rsid w:val="583F204E"/>
    <w:rsid w:val="58AE5E7C"/>
    <w:rsid w:val="595E459B"/>
    <w:rsid w:val="59817DB6"/>
    <w:rsid w:val="5A7D0C9E"/>
    <w:rsid w:val="5AD41F13"/>
    <w:rsid w:val="5BFA6489"/>
    <w:rsid w:val="5BFB3C44"/>
    <w:rsid w:val="5C6B3654"/>
    <w:rsid w:val="5CE91611"/>
    <w:rsid w:val="5D2D269B"/>
    <w:rsid w:val="5D5201C0"/>
    <w:rsid w:val="5DC9716E"/>
    <w:rsid w:val="5DDE5652"/>
    <w:rsid w:val="5E4F3FF8"/>
    <w:rsid w:val="5E613EA4"/>
    <w:rsid w:val="5EDF54D4"/>
    <w:rsid w:val="5F8D54E0"/>
    <w:rsid w:val="5FEA56D8"/>
    <w:rsid w:val="607313C1"/>
    <w:rsid w:val="60B66CA4"/>
    <w:rsid w:val="60E640CC"/>
    <w:rsid w:val="60FD3B15"/>
    <w:rsid w:val="62315391"/>
    <w:rsid w:val="62B05907"/>
    <w:rsid w:val="62C108C4"/>
    <w:rsid w:val="634927F8"/>
    <w:rsid w:val="639208BE"/>
    <w:rsid w:val="63921342"/>
    <w:rsid w:val="64287ECD"/>
    <w:rsid w:val="6498572D"/>
    <w:rsid w:val="64B9162B"/>
    <w:rsid w:val="65D976D1"/>
    <w:rsid w:val="66247BB8"/>
    <w:rsid w:val="663740B6"/>
    <w:rsid w:val="665C68CF"/>
    <w:rsid w:val="66601051"/>
    <w:rsid w:val="667667E2"/>
    <w:rsid w:val="66902670"/>
    <w:rsid w:val="66F75934"/>
    <w:rsid w:val="6710771C"/>
    <w:rsid w:val="678E1D9F"/>
    <w:rsid w:val="679D374F"/>
    <w:rsid w:val="68053E8D"/>
    <w:rsid w:val="69F65C1A"/>
    <w:rsid w:val="6A275748"/>
    <w:rsid w:val="6A36252B"/>
    <w:rsid w:val="6A724BD9"/>
    <w:rsid w:val="6ACB2952"/>
    <w:rsid w:val="6AE826A6"/>
    <w:rsid w:val="6B0200D2"/>
    <w:rsid w:val="6B4B624F"/>
    <w:rsid w:val="6B83735C"/>
    <w:rsid w:val="6E2F47E7"/>
    <w:rsid w:val="6E3E5853"/>
    <w:rsid w:val="6E576C48"/>
    <w:rsid w:val="6E5C1E06"/>
    <w:rsid w:val="6E711399"/>
    <w:rsid w:val="6E7D2E87"/>
    <w:rsid w:val="6E8825BC"/>
    <w:rsid w:val="6E9B4D97"/>
    <w:rsid w:val="6EC33075"/>
    <w:rsid w:val="6F433BCC"/>
    <w:rsid w:val="6F595014"/>
    <w:rsid w:val="706A2341"/>
    <w:rsid w:val="713D060F"/>
    <w:rsid w:val="71B6320B"/>
    <w:rsid w:val="72075026"/>
    <w:rsid w:val="722608CA"/>
    <w:rsid w:val="72DF1AB0"/>
    <w:rsid w:val="730B5005"/>
    <w:rsid w:val="732B0626"/>
    <w:rsid w:val="73C4721C"/>
    <w:rsid w:val="73FE0E42"/>
    <w:rsid w:val="74314109"/>
    <w:rsid w:val="745B2A20"/>
    <w:rsid w:val="74911176"/>
    <w:rsid w:val="749E60E7"/>
    <w:rsid w:val="74F846EB"/>
    <w:rsid w:val="755D4A2E"/>
    <w:rsid w:val="76044EAD"/>
    <w:rsid w:val="7614107A"/>
    <w:rsid w:val="763E50EE"/>
    <w:rsid w:val="76D07EF6"/>
    <w:rsid w:val="77565CA2"/>
    <w:rsid w:val="77CA4C87"/>
    <w:rsid w:val="78093CAC"/>
    <w:rsid w:val="78607595"/>
    <w:rsid w:val="788861F9"/>
    <w:rsid w:val="78CA023E"/>
    <w:rsid w:val="795D77B7"/>
    <w:rsid w:val="79BD7ABA"/>
    <w:rsid w:val="7A2F7E05"/>
    <w:rsid w:val="7AAA5956"/>
    <w:rsid w:val="7AAC015C"/>
    <w:rsid w:val="7AB5242F"/>
    <w:rsid w:val="7AF87737"/>
    <w:rsid w:val="7B0B1932"/>
    <w:rsid w:val="7B1D2DF5"/>
    <w:rsid w:val="7B292635"/>
    <w:rsid w:val="7B2A3C6E"/>
    <w:rsid w:val="7B5629F9"/>
    <w:rsid w:val="7B871525"/>
    <w:rsid w:val="7C3073CD"/>
    <w:rsid w:val="7D236D81"/>
    <w:rsid w:val="7D2C2DAC"/>
    <w:rsid w:val="7E1249E7"/>
    <w:rsid w:val="7E8779D6"/>
    <w:rsid w:val="7EEA25C1"/>
    <w:rsid w:val="7FAE7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5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9"/>
    <w:autoRedefine/>
    <w:qFormat/>
    <w:uiPriority w:val="0"/>
    <w:pPr>
      <w:keepNext/>
      <w:keepLines/>
      <w:spacing w:line="560" w:lineRule="exact"/>
      <w:ind w:firstLine="880" w:firstLineChars="200"/>
      <w:outlineLvl w:val="1"/>
    </w:pPr>
    <w:rPr>
      <w:rFonts w:ascii="Arial" w:hAnsi="Arial" w:eastAsia="黑体" w:cs="宋体"/>
      <w:sz w:val="32"/>
      <w:szCs w:val="22"/>
    </w:rPr>
  </w:style>
  <w:style w:type="paragraph" w:styleId="4">
    <w:name w:val="heading 3"/>
    <w:basedOn w:val="1"/>
    <w:next w:val="1"/>
    <w:autoRedefine/>
    <w:unhideWhenUsed/>
    <w:qFormat/>
    <w:uiPriority w:val="0"/>
    <w:pPr>
      <w:snapToGrid w:val="0"/>
      <w:spacing w:line="580" w:lineRule="exact"/>
      <w:ind w:firstLine="560" w:firstLineChars="200"/>
      <w:jc w:val="left"/>
      <w:outlineLvl w:val="2"/>
    </w:pPr>
    <w:rPr>
      <w:rFonts w:hint="eastAsia" w:ascii="宋体" w:hAnsi="宋体" w:eastAsia="楷体"/>
      <w:kern w:val="0"/>
      <w:szCs w:val="27"/>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2"/>
    <w:autoRedefine/>
    <w:qFormat/>
    <w:uiPriority w:val="0"/>
    <w:pPr>
      <w:jc w:val="left"/>
    </w:pPr>
  </w:style>
  <w:style w:type="paragraph" w:styleId="6">
    <w:name w:val="Body Text Indent"/>
    <w:autoRedefine/>
    <w:qFormat/>
    <w:uiPriority w:val="99"/>
    <w:pPr>
      <w:spacing w:after="120"/>
      <w:ind w:left="420" w:leftChars="200"/>
    </w:pPr>
    <w:rPr>
      <w:rFonts w:ascii="Calibri" w:hAnsi="Calibri" w:eastAsia="宋体" w:cs="Times New Roman"/>
      <w:lang w:val="en-US" w:eastAsia="zh-CN" w:bidi="ar-SA"/>
    </w:rPr>
  </w:style>
  <w:style w:type="paragraph" w:styleId="7">
    <w:name w:val="Balloon Text"/>
    <w:basedOn w:val="1"/>
    <w:link w:val="20"/>
    <w:autoRedefine/>
    <w:qFormat/>
    <w:uiPriority w:val="0"/>
    <w:rPr>
      <w:sz w:val="18"/>
      <w:szCs w:val="18"/>
    </w:rPr>
  </w:style>
  <w:style w:type="paragraph" w:styleId="8">
    <w:name w:val="footer"/>
    <w:basedOn w:val="1"/>
    <w:link w:val="16"/>
    <w:autoRedefine/>
    <w:qFormat/>
    <w:uiPriority w:val="99"/>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link w:val="21"/>
    <w:autoRedefine/>
    <w:qFormat/>
    <w:uiPriority w:val="0"/>
    <w:rPr>
      <w:b/>
      <w:bCs/>
    </w:rPr>
  </w:style>
  <w:style w:type="character" w:styleId="14">
    <w:name w:val="Strong"/>
    <w:basedOn w:val="13"/>
    <w:qFormat/>
    <w:uiPriority w:val="22"/>
    <w:rPr>
      <w:b/>
    </w:rPr>
  </w:style>
  <w:style w:type="character" w:styleId="15">
    <w:name w:val="annotation reference"/>
    <w:autoRedefine/>
    <w:qFormat/>
    <w:uiPriority w:val="0"/>
    <w:rPr>
      <w:sz w:val="21"/>
      <w:szCs w:val="21"/>
    </w:rPr>
  </w:style>
  <w:style w:type="character" w:customStyle="1" w:styleId="16">
    <w:name w:val="页脚 Char"/>
    <w:link w:val="8"/>
    <w:autoRedefine/>
    <w:qFormat/>
    <w:uiPriority w:val="99"/>
    <w:rPr>
      <w:kern w:val="2"/>
      <w:sz w:val="18"/>
    </w:rPr>
  </w:style>
  <w:style w:type="character" w:customStyle="1" w:styleId="17">
    <w:name w:val="页码 New"/>
    <w:basedOn w:val="13"/>
    <w:autoRedefine/>
    <w:qFormat/>
    <w:uiPriority w:val="0"/>
  </w:style>
  <w:style w:type="character" w:customStyle="1" w:styleId="18">
    <w:name w:val="页码 New New"/>
    <w:basedOn w:val="13"/>
    <w:autoRedefine/>
    <w:qFormat/>
    <w:uiPriority w:val="0"/>
  </w:style>
  <w:style w:type="character" w:customStyle="1" w:styleId="19">
    <w:name w:val="页码 New New New"/>
    <w:basedOn w:val="13"/>
    <w:autoRedefine/>
    <w:qFormat/>
    <w:uiPriority w:val="0"/>
  </w:style>
  <w:style w:type="character" w:customStyle="1" w:styleId="20">
    <w:name w:val="批注框文本 Char"/>
    <w:link w:val="7"/>
    <w:autoRedefine/>
    <w:qFormat/>
    <w:uiPriority w:val="0"/>
    <w:rPr>
      <w:kern w:val="2"/>
      <w:sz w:val="18"/>
      <w:szCs w:val="18"/>
    </w:rPr>
  </w:style>
  <w:style w:type="character" w:customStyle="1" w:styleId="21">
    <w:name w:val="批注主题 Char"/>
    <w:link w:val="11"/>
    <w:autoRedefine/>
    <w:qFormat/>
    <w:uiPriority w:val="0"/>
    <w:rPr>
      <w:b/>
      <w:bCs/>
      <w:kern w:val="2"/>
      <w:sz w:val="21"/>
    </w:rPr>
  </w:style>
  <w:style w:type="character" w:customStyle="1" w:styleId="22">
    <w:name w:val="批注文字 Char"/>
    <w:link w:val="5"/>
    <w:autoRedefine/>
    <w:qFormat/>
    <w:uiPriority w:val="0"/>
    <w:rPr>
      <w:kern w:val="2"/>
      <w:sz w:val="21"/>
    </w:rPr>
  </w:style>
  <w:style w:type="character" w:customStyle="1" w:styleId="23">
    <w:name w:val="页码 New New New New"/>
    <w:basedOn w:val="13"/>
    <w:autoRedefine/>
    <w:qFormat/>
    <w:uiPriority w:val="0"/>
  </w:style>
  <w:style w:type="paragraph" w:customStyle="1" w:styleId="24">
    <w:name w:val="正文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5">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页眉1"/>
    <w:basedOn w:val="1"/>
    <w:autoRedefine/>
    <w:qFormat/>
    <w:uiPriority w:val="99"/>
    <w:pPr>
      <w:pBdr>
        <w:bottom w:val="single" w:color="auto" w:sz="6" w:space="1"/>
      </w:pBdr>
      <w:tabs>
        <w:tab w:val="center" w:pos="4153"/>
        <w:tab w:val="right" w:pos="8306"/>
      </w:tabs>
      <w:snapToGrid w:val="0"/>
      <w:jc w:val="right"/>
    </w:pPr>
    <w:rPr>
      <w:rFonts w:hint="eastAsia"/>
    </w:rPr>
  </w:style>
  <w:style w:type="paragraph" w:customStyle="1" w:styleId="28">
    <w:name w:val="页眉 New"/>
    <w:basedOn w:val="2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9">
    <w:name w:val="页脚 New New New"/>
    <w:basedOn w:val="30"/>
    <w:autoRedefine/>
    <w:qFormat/>
    <w:uiPriority w:val="0"/>
    <w:pPr>
      <w:tabs>
        <w:tab w:val="center" w:pos="4153"/>
        <w:tab w:val="right" w:pos="8306"/>
      </w:tabs>
      <w:snapToGrid w:val="0"/>
      <w:jc w:val="left"/>
    </w:pPr>
    <w:rPr>
      <w:sz w:val="18"/>
    </w:rPr>
  </w:style>
  <w:style w:type="paragraph" w:customStyle="1" w:styleId="30">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1">
    <w:name w:val="页眉 New New"/>
    <w:basedOn w:val="3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2">
    <w:name w:val="正文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3">
    <w:name w:val="正文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
    <w:name w:val="页脚 New"/>
    <w:basedOn w:val="25"/>
    <w:autoRedefine/>
    <w:qFormat/>
    <w:uiPriority w:val="0"/>
    <w:pPr>
      <w:tabs>
        <w:tab w:val="center" w:pos="4153"/>
        <w:tab w:val="right" w:pos="8306"/>
      </w:tabs>
      <w:snapToGrid w:val="0"/>
      <w:jc w:val="left"/>
    </w:pPr>
    <w:rPr>
      <w:sz w:val="18"/>
      <w:szCs w:val="18"/>
    </w:rPr>
  </w:style>
  <w:style w:type="paragraph" w:customStyle="1" w:styleId="35">
    <w:name w:val="页脚1"/>
    <w:basedOn w:val="1"/>
    <w:autoRedefine/>
    <w:qFormat/>
    <w:uiPriority w:val="99"/>
    <w:pPr>
      <w:tabs>
        <w:tab w:val="center" w:pos="4153"/>
        <w:tab w:val="right" w:pos="8306"/>
      </w:tabs>
      <w:snapToGrid w:val="0"/>
      <w:jc w:val="right"/>
    </w:pPr>
    <w:rPr>
      <w:rFonts w:hint="eastAsia"/>
    </w:rPr>
  </w:style>
  <w:style w:type="paragraph" w:customStyle="1" w:styleId="36">
    <w:name w:val="正文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7">
    <w:name w:val="页脚 New New"/>
    <w:basedOn w:val="24"/>
    <w:autoRedefine/>
    <w:qFormat/>
    <w:uiPriority w:val="0"/>
    <w:pPr>
      <w:tabs>
        <w:tab w:val="center" w:pos="4153"/>
        <w:tab w:val="right" w:pos="8306"/>
      </w:tabs>
      <w:snapToGrid w:val="0"/>
      <w:jc w:val="left"/>
    </w:pPr>
    <w:rPr>
      <w:sz w:val="18"/>
    </w:rPr>
  </w:style>
  <w:style w:type="paragraph" w:customStyle="1" w:styleId="38">
    <w:name w:val="页脚 New New New New"/>
    <w:basedOn w:val="39"/>
    <w:autoRedefine/>
    <w:qFormat/>
    <w:uiPriority w:val="0"/>
    <w:pPr>
      <w:tabs>
        <w:tab w:val="center" w:pos="4153"/>
        <w:tab w:val="right" w:pos="8306"/>
      </w:tabs>
      <w:snapToGrid w:val="0"/>
      <w:jc w:val="left"/>
    </w:pPr>
    <w:rPr>
      <w:sz w:val="18"/>
      <w:szCs w:val="18"/>
    </w:rPr>
  </w:style>
  <w:style w:type="paragraph" w:customStyle="1" w:styleId="39">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styleId="40">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41">
    <w:name w:val="修订1"/>
    <w:autoRedefine/>
    <w:qFormat/>
    <w:uiPriority w:val="99"/>
    <w:rPr>
      <w:rFonts w:ascii="Calibri" w:hAnsi="Calibri" w:eastAsia="宋体" w:cs="Times New Roman"/>
      <w:kern w:val="2"/>
      <w:sz w:val="21"/>
      <w:lang w:val="en-US" w:eastAsia="zh-CN" w:bidi="ar-SA"/>
    </w:rPr>
  </w:style>
  <w:style w:type="paragraph" w:customStyle="1" w:styleId="42">
    <w:name w:val="正文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3">
    <w:name w:val="正文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4">
    <w:name w:val="正文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5">
    <w:name w:val="正文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6">
    <w:name w:val="正文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7">
    <w:name w:val="正文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8">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49">
    <w:name w:val="标题 2 Char"/>
    <w:basedOn w:val="13"/>
    <w:link w:val="3"/>
    <w:autoRedefine/>
    <w:qFormat/>
    <w:uiPriority w:val="0"/>
    <w:rPr>
      <w:rFonts w:ascii="Arial" w:hAnsi="Arial" w:eastAsia="黑体" w:cs="宋体"/>
      <w:kern w:val="2"/>
      <w:sz w:val="32"/>
      <w:szCs w:val="22"/>
    </w:rPr>
  </w:style>
  <w:style w:type="character" w:customStyle="1" w:styleId="50">
    <w:name w:val="标题 1 Char"/>
    <w:basedOn w:val="13"/>
    <w:link w:val="2"/>
    <w:autoRedefine/>
    <w:qFormat/>
    <w:uiPriority w:val="9"/>
    <w:rPr>
      <w:rFonts w:ascii="Calibri" w:hAnsi="Calibri"/>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D781F-8105-49FF-905D-DF824AB668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2504</Words>
  <Characters>2623</Characters>
  <Lines>13</Lines>
  <Paragraphs>3</Paragraphs>
  <TotalTime>1</TotalTime>
  <ScaleCrop>false</ScaleCrop>
  <LinksUpToDate>false</LinksUpToDate>
  <CharactersWithSpaces>2787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2024-06-30T08:07:00Z</dcterms:created>
  <dc:creator>Administrator</dc:creator>
  <cp:lastModifiedBy>郭辉</cp:lastModifiedBy>
  <cp:lastPrinted>2024-08-02T08:58:00Z</cp:lastPrinted>
  <dcterms:modified xsi:type="dcterms:W3CDTF">2024-11-04T11:25:38Z</dcterms:modified>
  <dc:title>投资者关系活动记录表</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8BF292B31EAB469E829DBC2EA250B7D0_13</vt:lpwstr>
  </property>
</Properties>
</file>