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829" w:rsidRPr="00B05CF0" w:rsidRDefault="000C1DFC">
      <w:pPr>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证券代码：600</w:t>
      </w:r>
      <w:r w:rsidR="00544814" w:rsidRPr="00B05CF0">
        <w:rPr>
          <w:rFonts w:ascii="方正仿宋_GBK" w:eastAsia="方正仿宋_GBK" w:hAnsiTheme="minorEastAsia" w:hint="eastAsia"/>
          <w:color w:val="000000" w:themeColor="text1"/>
          <w:sz w:val="28"/>
          <w:szCs w:val="28"/>
        </w:rPr>
        <w:t>279</w:t>
      </w:r>
      <w:r w:rsidRPr="00B05CF0">
        <w:rPr>
          <w:rFonts w:ascii="方正仿宋_GBK" w:eastAsia="方正仿宋_GBK" w:hAnsiTheme="minorEastAsia" w:hint="eastAsia"/>
          <w:color w:val="000000" w:themeColor="text1"/>
          <w:sz w:val="28"/>
          <w:szCs w:val="28"/>
        </w:rPr>
        <w:t xml:space="preserve">                         证券简称：</w:t>
      </w:r>
      <w:r w:rsidR="00544814" w:rsidRPr="00B05CF0">
        <w:rPr>
          <w:rFonts w:ascii="方正仿宋_GBK" w:eastAsia="方正仿宋_GBK" w:hAnsiTheme="minorEastAsia" w:hint="eastAsia"/>
          <w:color w:val="000000" w:themeColor="text1"/>
          <w:sz w:val="28"/>
          <w:szCs w:val="28"/>
        </w:rPr>
        <w:t>重庆港</w:t>
      </w:r>
    </w:p>
    <w:p w:rsidR="00124829" w:rsidRDefault="00544814" w:rsidP="00544814">
      <w:pPr>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重庆港</w:t>
      </w:r>
      <w:r w:rsidR="00257786">
        <w:rPr>
          <w:rFonts w:asciiTheme="minorEastAsia" w:hAnsiTheme="minorEastAsia" w:hint="eastAsia"/>
          <w:b/>
          <w:color w:val="000000" w:themeColor="text1"/>
          <w:sz w:val="32"/>
          <w:szCs w:val="32"/>
        </w:rPr>
        <w:t>股份有限公司投资者关系活动记录</w:t>
      </w:r>
    </w:p>
    <w:p w:rsidR="00124829" w:rsidRPr="00B05CF0" w:rsidRDefault="000C1DFC">
      <w:pPr>
        <w:jc w:val="right"/>
        <w:rPr>
          <w:rFonts w:ascii="方正仿宋_GBK" w:eastAsia="方正仿宋_GBK" w:hAnsiTheme="minorEastAsia"/>
          <w:color w:val="000000" w:themeColor="text1"/>
          <w:sz w:val="28"/>
          <w:szCs w:val="28"/>
        </w:rPr>
      </w:pPr>
      <w:r w:rsidRPr="00B05CF0">
        <w:rPr>
          <w:rFonts w:ascii="方正仿宋_GBK" w:eastAsia="方正仿宋_GBK" w:hAnsiTheme="minorEastAsia" w:hint="eastAsia"/>
          <w:color w:val="000000" w:themeColor="text1"/>
          <w:sz w:val="28"/>
          <w:szCs w:val="28"/>
        </w:rPr>
        <w:t>编号：202</w:t>
      </w:r>
      <w:r w:rsidR="00501BD5">
        <w:rPr>
          <w:rFonts w:ascii="方正仿宋_GBK" w:eastAsia="方正仿宋_GBK" w:hAnsiTheme="minorEastAsia" w:hint="eastAsia"/>
          <w:color w:val="000000" w:themeColor="text1"/>
          <w:sz w:val="28"/>
          <w:szCs w:val="28"/>
        </w:rPr>
        <w:t>4</w:t>
      </w:r>
      <w:r w:rsidRPr="00B05CF0">
        <w:rPr>
          <w:rFonts w:ascii="方正仿宋_GBK" w:eastAsia="方正仿宋_GBK" w:hAnsiTheme="minorEastAsia" w:hint="eastAsia"/>
          <w:color w:val="000000" w:themeColor="text1"/>
          <w:sz w:val="28"/>
          <w:szCs w:val="28"/>
        </w:rPr>
        <w:t>-0</w:t>
      </w:r>
      <w:r w:rsidR="00A54CC9">
        <w:rPr>
          <w:rFonts w:ascii="方正仿宋_GBK" w:eastAsia="方正仿宋_GBK" w:hAnsiTheme="minorEastAsia"/>
          <w:color w:val="000000" w:themeColor="text1"/>
          <w:sz w:val="28"/>
          <w:szCs w:val="28"/>
        </w:rPr>
        <w:t>3</w:t>
      </w:r>
    </w:p>
    <w:tbl>
      <w:tblPr>
        <w:tblStyle w:val="11"/>
        <w:tblW w:w="9215" w:type="dxa"/>
        <w:jc w:val="center"/>
        <w:tblLayout w:type="fixed"/>
        <w:tblLook w:val="04A0" w:firstRow="1" w:lastRow="0" w:firstColumn="1" w:lastColumn="0" w:noHBand="0" w:noVBand="1"/>
      </w:tblPr>
      <w:tblGrid>
        <w:gridCol w:w="2552"/>
        <w:gridCol w:w="6663"/>
      </w:tblGrid>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投资者关系</w:t>
            </w:r>
          </w:p>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活动类别</w:t>
            </w:r>
          </w:p>
        </w:tc>
        <w:tc>
          <w:tcPr>
            <w:tcW w:w="6663" w:type="dxa"/>
            <w:vAlign w:val="center"/>
          </w:tcPr>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√特定对象调研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□分析师会议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□媒体采访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□业绩说明会（电话会议）</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□新闻发布会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□路演活动</w:t>
            </w:r>
          </w:p>
          <w:p w:rsidR="00BE55D0" w:rsidRPr="00BE55D0" w:rsidRDefault="00BE55D0" w:rsidP="00BE55D0">
            <w:pPr>
              <w:spacing w:line="500" w:lineRule="exact"/>
              <w:jc w:val="left"/>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 xml:space="preserve">□现场参观 </w:t>
            </w:r>
            <w:r w:rsidRPr="00BE55D0">
              <w:rPr>
                <w:rFonts w:asciiTheme="minorEastAsia" w:hAnsiTheme="minorEastAsia"/>
                <w:color w:val="000000" w:themeColor="text1"/>
                <w:sz w:val="28"/>
                <w:szCs w:val="28"/>
              </w:rPr>
              <w:t xml:space="preserve">          </w:t>
            </w:r>
            <w:r w:rsidRPr="00BE55D0">
              <w:rPr>
                <w:rFonts w:asciiTheme="minorEastAsia" w:hAnsiTheme="minorEastAsia" w:hint="eastAsia"/>
                <w:color w:val="000000" w:themeColor="text1"/>
                <w:sz w:val="28"/>
                <w:szCs w:val="28"/>
              </w:rPr>
              <w:t xml:space="preserve"> □其他</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参与单位名称</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及人员</w:t>
            </w:r>
            <w:r w:rsidRPr="00BE55D0">
              <w:rPr>
                <w:rFonts w:asciiTheme="minorEastAsia" w:hAnsiTheme="minorEastAsia" w:hint="eastAsia"/>
                <w:color w:val="000000" w:themeColor="text1"/>
                <w:sz w:val="28"/>
                <w:szCs w:val="28"/>
              </w:rPr>
              <w:t>姓名</w:t>
            </w:r>
          </w:p>
        </w:tc>
        <w:tc>
          <w:tcPr>
            <w:tcW w:w="6663" w:type="dxa"/>
            <w:vAlign w:val="center"/>
          </w:tcPr>
          <w:p w:rsidR="00BE55D0" w:rsidRPr="00BE55D0" w:rsidRDefault="00A54CC9" w:rsidP="00A54CC9">
            <w:pPr>
              <w:jc w:val="left"/>
              <w:rPr>
                <w:rFonts w:ascii="方正仿宋_GBK" w:eastAsia="方正仿宋_GBK" w:hAnsiTheme="minorEastAsia"/>
                <w:color w:val="000000" w:themeColor="text1"/>
                <w:sz w:val="28"/>
                <w:szCs w:val="28"/>
              </w:rPr>
            </w:pPr>
            <w:r w:rsidRPr="00A54CC9">
              <w:rPr>
                <w:rFonts w:ascii="方正仿宋_GBK" w:eastAsia="方正仿宋_GBK" w:hAnsiTheme="minorEastAsia" w:hint="eastAsia"/>
                <w:color w:val="000000" w:themeColor="text1"/>
                <w:sz w:val="28"/>
                <w:szCs w:val="28"/>
              </w:rPr>
              <w:t>浙商证券交运研究员李逸</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时</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间</w:t>
            </w:r>
          </w:p>
        </w:tc>
        <w:tc>
          <w:tcPr>
            <w:tcW w:w="6663" w:type="dxa"/>
            <w:vAlign w:val="center"/>
          </w:tcPr>
          <w:p w:rsidR="00BE55D0" w:rsidRPr="00BE55D0" w:rsidRDefault="00BE55D0" w:rsidP="00A54CC9">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2024年</w:t>
            </w:r>
            <w:r w:rsidR="00A54CC9">
              <w:rPr>
                <w:rFonts w:ascii="方正仿宋_GBK" w:eastAsia="方正仿宋_GBK" w:hAnsiTheme="minorEastAsia"/>
                <w:color w:val="000000" w:themeColor="text1"/>
                <w:sz w:val="28"/>
                <w:szCs w:val="28"/>
              </w:rPr>
              <w:t>11</w:t>
            </w:r>
            <w:r w:rsidRPr="00BE55D0">
              <w:rPr>
                <w:rFonts w:ascii="方正仿宋_GBK" w:eastAsia="方正仿宋_GBK" w:hAnsiTheme="minorEastAsia" w:hint="eastAsia"/>
                <w:color w:val="000000" w:themeColor="text1"/>
                <w:sz w:val="28"/>
                <w:szCs w:val="28"/>
              </w:rPr>
              <w:t>月</w:t>
            </w:r>
            <w:r w:rsidR="00A54CC9">
              <w:rPr>
                <w:rFonts w:ascii="方正仿宋_GBK" w:eastAsia="方正仿宋_GBK" w:hAnsiTheme="minorEastAsia"/>
                <w:color w:val="000000" w:themeColor="text1"/>
                <w:sz w:val="28"/>
                <w:szCs w:val="28"/>
              </w:rPr>
              <w:t>1</w:t>
            </w:r>
            <w:r w:rsidRPr="00BE55D0">
              <w:rPr>
                <w:rFonts w:ascii="方正仿宋_GBK" w:eastAsia="方正仿宋_GBK" w:hAnsiTheme="minorEastAsia" w:hint="eastAsia"/>
                <w:color w:val="000000" w:themeColor="text1"/>
                <w:sz w:val="28"/>
                <w:szCs w:val="28"/>
              </w:rPr>
              <w:t>日</w:t>
            </w:r>
          </w:p>
        </w:tc>
      </w:tr>
      <w:tr w:rsidR="00BE55D0" w:rsidRPr="00BE55D0" w:rsidTr="00E9788F">
        <w:trPr>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地</w:t>
            </w:r>
            <w:r w:rsidRPr="00BE55D0">
              <w:rPr>
                <w:rFonts w:asciiTheme="minorEastAsia" w:hAnsiTheme="minorEastAsia" w:hint="eastAsia"/>
                <w:color w:val="000000" w:themeColor="text1"/>
                <w:sz w:val="28"/>
                <w:szCs w:val="28"/>
              </w:rPr>
              <w:t xml:space="preserve">   </w:t>
            </w:r>
            <w:r w:rsidRPr="00BE55D0">
              <w:rPr>
                <w:rFonts w:asciiTheme="minorEastAsia" w:hAnsiTheme="minorEastAsia"/>
                <w:color w:val="000000" w:themeColor="text1"/>
                <w:sz w:val="28"/>
                <w:szCs w:val="28"/>
              </w:rPr>
              <w:t>点</w:t>
            </w:r>
          </w:p>
        </w:tc>
        <w:tc>
          <w:tcPr>
            <w:tcW w:w="6663" w:type="dxa"/>
            <w:vAlign w:val="center"/>
          </w:tcPr>
          <w:p w:rsidR="00BE55D0" w:rsidRPr="00BE55D0" w:rsidRDefault="00BE55D0" w:rsidP="00A54CC9">
            <w:pPr>
              <w:jc w:val="lef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重庆市江北区海尔路298号公司2</w:t>
            </w:r>
            <w:r w:rsidR="00A54CC9">
              <w:rPr>
                <w:rFonts w:ascii="方正仿宋_GBK" w:eastAsia="方正仿宋_GBK" w:hAnsiTheme="minorEastAsia"/>
                <w:color w:val="000000" w:themeColor="text1"/>
                <w:sz w:val="28"/>
                <w:szCs w:val="28"/>
              </w:rPr>
              <w:t>0</w:t>
            </w:r>
            <w:r w:rsidRPr="00BE55D0">
              <w:rPr>
                <w:rFonts w:ascii="方正仿宋_GBK" w:eastAsia="方正仿宋_GBK" w:hAnsiTheme="minorEastAsia" w:hint="eastAsia"/>
                <w:color w:val="000000" w:themeColor="text1"/>
                <w:sz w:val="28"/>
                <w:szCs w:val="28"/>
              </w:rPr>
              <w:t>楼会议室</w:t>
            </w:r>
          </w:p>
        </w:tc>
      </w:tr>
      <w:tr w:rsidR="00BE55D0" w:rsidRPr="00BE55D0" w:rsidTr="00E9788F">
        <w:trPr>
          <w:jc w:val="center"/>
        </w:trPr>
        <w:tc>
          <w:tcPr>
            <w:tcW w:w="2552" w:type="dxa"/>
            <w:vAlign w:val="center"/>
          </w:tcPr>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上市公司</w:t>
            </w:r>
          </w:p>
          <w:p w:rsidR="00BE55D0" w:rsidRPr="00BE55D0" w:rsidRDefault="00BE55D0" w:rsidP="00BE55D0">
            <w:pPr>
              <w:spacing w:line="500" w:lineRule="exact"/>
              <w:jc w:val="center"/>
              <w:rPr>
                <w:rFonts w:asciiTheme="minorEastAsia" w:hAnsiTheme="minorEastAsia"/>
                <w:color w:val="000000" w:themeColor="text1"/>
                <w:sz w:val="28"/>
                <w:szCs w:val="28"/>
              </w:rPr>
            </w:pPr>
            <w:r w:rsidRPr="00BE55D0">
              <w:rPr>
                <w:rFonts w:asciiTheme="minorEastAsia" w:hAnsiTheme="minorEastAsia"/>
                <w:color w:val="000000" w:themeColor="text1"/>
                <w:sz w:val="28"/>
                <w:szCs w:val="28"/>
              </w:rPr>
              <w:t>接待人员名称</w:t>
            </w:r>
          </w:p>
        </w:tc>
        <w:tc>
          <w:tcPr>
            <w:tcW w:w="6663" w:type="dxa"/>
            <w:tcBorders>
              <w:bottom w:val="single" w:sz="4" w:space="0" w:color="auto"/>
            </w:tcBorders>
            <w:vAlign w:val="center"/>
          </w:tcPr>
          <w:p w:rsidR="00BE55D0" w:rsidRPr="00BE55D0" w:rsidRDefault="00BE55D0" w:rsidP="00A54CC9">
            <w:pPr>
              <w:tabs>
                <w:tab w:val="left" w:pos="2530"/>
              </w:tabs>
              <w:spacing w:line="500" w:lineRule="exact"/>
              <w:rPr>
                <w:rFonts w:ascii="方正仿宋_GBK" w:eastAsia="方正仿宋_GBK"/>
                <w:sz w:val="32"/>
                <w:szCs w:val="32"/>
              </w:rPr>
            </w:pPr>
            <w:r w:rsidRPr="00BE55D0">
              <w:rPr>
                <w:rFonts w:ascii="方正仿宋_GBK" w:eastAsia="方正仿宋_GBK" w:hAnsiTheme="minorEastAsia" w:hint="eastAsia"/>
                <w:color w:val="000000" w:themeColor="text1"/>
                <w:sz w:val="28"/>
                <w:szCs w:val="28"/>
              </w:rPr>
              <w:t>财务总监</w:t>
            </w:r>
            <w:r w:rsidR="00A54CC9">
              <w:rPr>
                <w:rFonts w:ascii="方正仿宋_GBK" w:eastAsia="方正仿宋_GBK" w:hAnsiTheme="minorEastAsia" w:hint="eastAsia"/>
                <w:color w:val="000000" w:themeColor="text1"/>
                <w:sz w:val="28"/>
                <w:szCs w:val="28"/>
              </w:rPr>
              <w:t>、</w:t>
            </w:r>
            <w:r w:rsidR="00A54CC9">
              <w:rPr>
                <w:rFonts w:ascii="方正仿宋_GBK" w:eastAsia="方正仿宋_GBK" w:hAnsiTheme="minorEastAsia"/>
                <w:color w:val="000000" w:themeColor="text1"/>
                <w:sz w:val="28"/>
                <w:szCs w:val="28"/>
              </w:rPr>
              <w:t>董事会秘书</w:t>
            </w:r>
            <w:r w:rsidRPr="00BE55D0">
              <w:rPr>
                <w:rFonts w:ascii="方正仿宋_GBK" w:eastAsia="方正仿宋_GBK" w:hAnsiTheme="minorEastAsia" w:hint="eastAsia"/>
                <w:color w:val="000000" w:themeColor="text1"/>
                <w:sz w:val="28"/>
                <w:szCs w:val="28"/>
              </w:rPr>
              <w:t>刘红伟，资产证券部、</w:t>
            </w:r>
            <w:r w:rsidR="00A54CC9">
              <w:rPr>
                <w:rFonts w:ascii="方正仿宋_GBK" w:eastAsia="方正仿宋_GBK" w:hAnsiTheme="minorEastAsia" w:hint="eastAsia"/>
                <w:color w:val="000000" w:themeColor="text1"/>
                <w:sz w:val="28"/>
                <w:szCs w:val="28"/>
              </w:rPr>
              <w:t>财务部</w:t>
            </w:r>
            <w:r w:rsidR="00A54CC9">
              <w:rPr>
                <w:rFonts w:ascii="方正仿宋_GBK" w:eastAsia="方正仿宋_GBK" w:hAnsiTheme="minorEastAsia"/>
                <w:color w:val="000000" w:themeColor="text1"/>
                <w:sz w:val="28"/>
                <w:szCs w:val="28"/>
              </w:rPr>
              <w:t>、</w:t>
            </w:r>
            <w:r w:rsidR="00A54CC9">
              <w:rPr>
                <w:rFonts w:ascii="方正仿宋_GBK" w:eastAsia="方正仿宋_GBK" w:hAnsiTheme="minorEastAsia" w:hint="eastAsia"/>
                <w:color w:val="000000" w:themeColor="text1"/>
                <w:sz w:val="28"/>
                <w:szCs w:val="28"/>
              </w:rPr>
              <w:t>港航物流部</w:t>
            </w:r>
            <w:r w:rsidR="00A54CC9">
              <w:rPr>
                <w:rFonts w:ascii="方正仿宋_GBK" w:eastAsia="方正仿宋_GBK" w:hAnsiTheme="minorEastAsia"/>
                <w:color w:val="000000" w:themeColor="text1"/>
                <w:sz w:val="28"/>
                <w:szCs w:val="28"/>
              </w:rPr>
              <w:t>、</w:t>
            </w:r>
            <w:r w:rsidRPr="00BE55D0">
              <w:rPr>
                <w:rFonts w:ascii="方正仿宋_GBK" w:eastAsia="方正仿宋_GBK" w:hAnsiTheme="minorEastAsia" w:hint="eastAsia"/>
                <w:color w:val="000000" w:themeColor="text1"/>
                <w:sz w:val="28"/>
                <w:szCs w:val="28"/>
              </w:rPr>
              <w:t>贸易物流部等部门相关</w:t>
            </w:r>
            <w:r w:rsidRPr="00BE55D0">
              <w:rPr>
                <w:rFonts w:ascii="方正仿宋_GBK" w:eastAsia="方正仿宋_GBK" w:hAnsiTheme="minorEastAsia"/>
                <w:color w:val="000000" w:themeColor="text1"/>
                <w:sz w:val="28"/>
                <w:szCs w:val="28"/>
              </w:rPr>
              <w:t>人员</w:t>
            </w:r>
            <w:r w:rsidRPr="00BE55D0">
              <w:rPr>
                <w:rFonts w:ascii="方正仿宋_GBK" w:eastAsia="方正仿宋_GBK" w:hAnsiTheme="minorEastAsia" w:hint="eastAsia"/>
                <w:color w:val="000000" w:themeColor="text1"/>
                <w:sz w:val="28"/>
                <w:szCs w:val="28"/>
              </w:rPr>
              <w:t>。</w:t>
            </w:r>
          </w:p>
        </w:tc>
      </w:tr>
      <w:tr w:rsidR="00BE55D0" w:rsidRPr="00BE55D0" w:rsidTr="00E9788F">
        <w:trPr>
          <w:trHeight w:val="630"/>
          <w:jc w:val="center"/>
        </w:trPr>
        <w:tc>
          <w:tcPr>
            <w:tcW w:w="2552" w:type="dxa"/>
            <w:vAlign w:val="center"/>
          </w:tcPr>
          <w:p w:rsidR="00BE55D0" w:rsidRPr="00BE55D0" w:rsidRDefault="00BE55D0" w:rsidP="00BE55D0">
            <w:pPr>
              <w:jc w:val="center"/>
              <w:rPr>
                <w:rFonts w:asciiTheme="minorEastAsia" w:hAnsiTheme="minorEastAsia"/>
                <w:color w:val="000000" w:themeColor="text1"/>
                <w:sz w:val="28"/>
                <w:szCs w:val="28"/>
              </w:rPr>
            </w:pPr>
            <w:r w:rsidRPr="00BE55D0">
              <w:rPr>
                <w:rFonts w:asciiTheme="minorEastAsia" w:hAnsiTheme="minorEastAsia" w:hint="eastAsia"/>
                <w:color w:val="000000" w:themeColor="text1"/>
                <w:sz w:val="28"/>
                <w:szCs w:val="28"/>
              </w:rPr>
              <w:t>投资者关系活动主要内容介绍</w:t>
            </w:r>
          </w:p>
        </w:tc>
        <w:tc>
          <w:tcPr>
            <w:tcW w:w="6663" w:type="dxa"/>
            <w:vAlign w:val="center"/>
          </w:tcPr>
          <w:p w:rsidR="00BE55D0" w:rsidRDefault="00BE55D0" w:rsidP="00BE55D0">
            <w:pPr>
              <w:spacing w:line="440" w:lineRule="exact"/>
              <w:rPr>
                <w:rFonts w:ascii="方正仿宋_GBK" w:eastAsia="方正仿宋_GBK" w:hAnsiTheme="minorEastAsia"/>
                <w:color w:val="000000" w:themeColor="text1"/>
                <w:sz w:val="28"/>
                <w:szCs w:val="28"/>
              </w:rPr>
            </w:pPr>
            <w:r w:rsidRPr="00BE55D0">
              <w:rPr>
                <w:rFonts w:ascii="方正仿宋_GBK" w:eastAsia="方正仿宋_GBK" w:hAnsiTheme="minorEastAsia" w:hint="eastAsia"/>
                <w:color w:val="000000" w:themeColor="text1"/>
                <w:sz w:val="28"/>
                <w:szCs w:val="28"/>
              </w:rPr>
              <w:t>调研</w:t>
            </w:r>
            <w:r w:rsidRPr="00BE55D0">
              <w:rPr>
                <w:rFonts w:ascii="方正仿宋_GBK" w:eastAsia="方正仿宋_GBK" w:hAnsiTheme="minorEastAsia"/>
                <w:color w:val="000000" w:themeColor="text1"/>
                <w:sz w:val="28"/>
                <w:szCs w:val="28"/>
              </w:rPr>
              <w:t>交流情况</w:t>
            </w:r>
            <w:r w:rsidRPr="00BE55D0">
              <w:rPr>
                <w:rFonts w:ascii="方正仿宋_GBK" w:eastAsia="方正仿宋_GBK" w:hAnsiTheme="minorEastAsia" w:hint="eastAsia"/>
                <w:color w:val="000000" w:themeColor="text1"/>
                <w:sz w:val="28"/>
                <w:szCs w:val="28"/>
              </w:rPr>
              <w:t>如下：</w:t>
            </w:r>
          </w:p>
          <w:p w:rsidR="000E0F88" w:rsidRPr="000E0F88" w:rsidRDefault="000E0F88" w:rsidP="000E0F88">
            <w:pPr>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一</w:t>
            </w:r>
            <w:r>
              <w:rPr>
                <w:rFonts w:ascii="方正黑体_GBK" w:eastAsia="方正黑体_GBK" w:hAnsi="仿宋_GB2312" w:cs="仿宋_GB2312"/>
                <w:bCs/>
                <w:color w:val="000000"/>
                <w:kern w:val="0"/>
                <w:sz w:val="28"/>
                <w:szCs w:val="28"/>
              </w:rPr>
              <w:t>、</w:t>
            </w:r>
            <w:r w:rsidRPr="000E0F88">
              <w:rPr>
                <w:rFonts w:ascii="方正黑体_GBK" w:eastAsia="方正黑体_GBK" w:hAnsi="仿宋_GB2312" w:cs="仿宋_GB2312" w:hint="eastAsia"/>
                <w:bCs/>
                <w:color w:val="000000"/>
                <w:kern w:val="0"/>
                <w:sz w:val="28"/>
                <w:szCs w:val="28"/>
              </w:rPr>
              <w:t>公司货物种类</w:t>
            </w:r>
            <w:r>
              <w:rPr>
                <w:rFonts w:ascii="方正黑体_GBK" w:eastAsia="方正黑体_GBK" w:hAnsi="仿宋_GB2312" w:cs="仿宋_GB2312" w:hint="eastAsia"/>
                <w:bCs/>
                <w:color w:val="000000"/>
                <w:kern w:val="0"/>
                <w:sz w:val="28"/>
                <w:szCs w:val="28"/>
              </w:rPr>
              <w:t>有哪些</w:t>
            </w:r>
            <w:r w:rsidRPr="000E0F88">
              <w:rPr>
                <w:rFonts w:ascii="方正黑体_GBK" w:eastAsia="方正黑体_GBK" w:hAnsi="仿宋_GB2312" w:cs="仿宋_GB2312" w:hint="eastAsia"/>
                <w:bCs/>
                <w:color w:val="000000"/>
                <w:kern w:val="0"/>
                <w:sz w:val="28"/>
                <w:szCs w:val="28"/>
              </w:rPr>
              <w:t>？</w:t>
            </w:r>
          </w:p>
          <w:p w:rsidR="000E0F88" w:rsidRDefault="000E0F88" w:rsidP="000E0F88">
            <w:pPr>
              <w:spacing w:line="440" w:lineRule="exact"/>
              <w:ind w:firstLineChars="200" w:firstLine="560"/>
              <w:rPr>
                <w:rFonts w:ascii="方正仿宋_GBK" w:eastAsia="方正仿宋_GBK" w:hAnsi="仿宋_GB2312" w:cs="仿宋_GB2312"/>
                <w:bCs/>
                <w:color w:val="000000"/>
                <w:kern w:val="0"/>
                <w:sz w:val="28"/>
                <w:szCs w:val="28"/>
              </w:rPr>
            </w:pPr>
            <w:r w:rsidRPr="000E0F88">
              <w:rPr>
                <w:rFonts w:ascii="方正仿宋_GBK" w:eastAsia="方正仿宋_GBK" w:hAnsi="仿宋_GB2312" w:cs="仿宋_GB2312" w:hint="eastAsia"/>
                <w:bCs/>
                <w:color w:val="000000"/>
                <w:kern w:val="0"/>
                <w:sz w:val="28"/>
                <w:szCs w:val="28"/>
              </w:rPr>
              <w:t>目前，公司货物种类主要有煤炭、化工、金属矿石、钢铁、矿建、非金属矿、化肥、粮食、集装箱、商滚车。</w:t>
            </w:r>
          </w:p>
          <w:p w:rsidR="000E0F88" w:rsidRPr="00922500" w:rsidRDefault="000E0F88" w:rsidP="000E0F88">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二</w:t>
            </w:r>
            <w:r w:rsidR="002F051E">
              <w:rPr>
                <w:rFonts w:ascii="方正黑体_GBK" w:eastAsia="方正黑体_GBK" w:hAnsi="仿宋_GB2312" w:cs="仿宋_GB2312" w:hint="eastAsia"/>
                <w:bCs/>
                <w:color w:val="000000"/>
                <w:kern w:val="0"/>
                <w:sz w:val="28"/>
                <w:szCs w:val="28"/>
              </w:rPr>
              <w:t>、</w:t>
            </w:r>
            <w:r w:rsidR="007C41F7">
              <w:rPr>
                <w:rFonts w:ascii="方正黑体_GBK" w:eastAsia="方正黑体_GBK" w:hAnsi="仿宋_GB2312" w:cs="仿宋_GB2312" w:hint="eastAsia"/>
                <w:bCs/>
                <w:color w:val="000000"/>
                <w:kern w:val="0"/>
                <w:sz w:val="28"/>
                <w:szCs w:val="28"/>
              </w:rPr>
              <w:t>珞璜港</w:t>
            </w:r>
            <w:r w:rsidR="00387261">
              <w:rPr>
                <w:rFonts w:ascii="方正黑体_GBK" w:eastAsia="方正黑体_GBK" w:hAnsi="仿宋_GB2312" w:cs="仿宋_GB2312" w:hint="eastAsia"/>
                <w:bCs/>
                <w:color w:val="000000"/>
                <w:kern w:val="0"/>
                <w:sz w:val="28"/>
                <w:szCs w:val="28"/>
              </w:rPr>
              <w:t>近年来</w:t>
            </w:r>
            <w:r w:rsidR="007C41F7">
              <w:rPr>
                <w:rFonts w:ascii="方正黑体_GBK" w:eastAsia="方正黑体_GBK" w:hAnsi="仿宋_GB2312" w:cs="仿宋_GB2312"/>
                <w:bCs/>
                <w:color w:val="000000"/>
                <w:kern w:val="0"/>
                <w:sz w:val="28"/>
                <w:szCs w:val="28"/>
              </w:rPr>
              <w:t>亏损</w:t>
            </w:r>
            <w:r w:rsidR="00387261">
              <w:rPr>
                <w:rFonts w:ascii="方正黑体_GBK" w:eastAsia="方正黑体_GBK" w:hAnsi="仿宋_GB2312" w:cs="仿宋_GB2312" w:hint="eastAsia"/>
                <w:bCs/>
                <w:color w:val="000000"/>
                <w:kern w:val="0"/>
                <w:sz w:val="28"/>
                <w:szCs w:val="28"/>
              </w:rPr>
              <w:t>的</w:t>
            </w:r>
            <w:r w:rsidR="00387261">
              <w:rPr>
                <w:rFonts w:ascii="方正黑体_GBK" w:eastAsia="方正黑体_GBK" w:hAnsi="仿宋_GB2312" w:cs="仿宋_GB2312"/>
                <w:bCs/>
                <w:color w:val="000000"/>
                <w:kern w:val="0"/>
                <w:sz w:val="28"/>
                <w:szCs w:val="28"/>
              </w:rPr>
              <w:t>原因</w:t>
            </w:r>
            <w:r w:rsidRPr="00922500">
              <w:rPr>
                <w:rFonts w:ascii="方正黑体_GBK" w:eastAsia="方正黑体_GBK" w:hAnsi="仿宋_GB2312" w:cs="仿宋_GB2312" w:hint="eastAsia"/>
                <w:bCs/>
                <w:color w:val="000000"/>
                <w:kern w:val="0"/>
                <w:sz w:val="28"/>
                <w:szCs w:val="28"/>
              </w:rPr>
              <w:t>？</w:t>
            </w:r>
          </w:p>
          <w:p w:rsidR="000E0F88" w:rsidRPr="000E0F88" w:rsidRDefault="00935A87" w:rsidP="000E0F88">
            <w:pPr>
              <w:spacing w:line="440" w:lineRule="exact"/>
              <w:ind w:firstLineChars="200" w:firstLine="560"/>
              <w:rPr>
                <w:rFonts w:ascii="方正仿宋_GBK" w:eastAsia="方正仿宋_GBK" w:hAnsi="仿宋_GB2312" w:cs="仿宋_GB2312"/>
                <w:bCs/>
                <w:color w:val="000000"/>
                <w:kern w:val="0"/>
                <w:sz w:val="28"/>
                <w:szCs w:val="28"/>
              </w:rPr>
            </w:pPr>
            <w:r>
              <w:rPr>
                <w:rFonts w:ascii="方正仿宋_GBK" w:eastAsia="方正仿宋_GBK" w:hAnsi="仿宋_GB2312" w:cs="仿宋_GB2312" w:hint="eastAsia"/>
                <w:bCs/>
                <w:color w:val="000000"/>
                <w:kern w:val="0"/>
                <w:sz w:val="28"/>
                <w:szCs w:val="28"/>
              </w:rPr>
              <w:t>目前</w:t>
            </w:r>
            <w:r w:rsidR="00E153E9">
              <w:rPr>
                <w:rFonts w:ascii="方正仿宋_GBK" w:eastAsia="方正仿宋_GBK" w:hAnsi="仿宋_GB2312" w:cs="仿宋_GB2312" w:hint="eastAsia"/>
                <w:bCs/>
                <w:color w:val="000000"/>
                <w:kern w:val="0"/>
                <w:sz w:val="28"/>
                <w:szCs w:val="28"/>
              </w:rPr>
              <w:t>珞璜港</w:t>
            </w:r>
            <w:r w:rsidR="00E153E9" w:rsidRPr="00E153E9">
              <w:rPr>
                <w:rFonts w:ascii="方正仿宋_GBK" w:eastAsia="方正仿宋_GBK" w:hAnsi="仿宋_GB2312" w:cs="仿宋_GB2312"/>
                <w:bCs/>
                <w:color w:val="000000"/>
                <w:kern w:val="0"/>
                <w:sz w:val="28"/>
                <w:szCs w:val="28"/>
              </w:rPr>
              <w:t>尚处于培育期，</w:t>
            </w:r>
            <w:r w:rsidR="003201F4">
              <w:rPr>
                <w:rFonts w:ascii="方正仿宋_GBK" w:eastAsia="方正仿宋_GBK" w:hAnsi="仿宋_GB2312" w:cs="仿宋_GB2312" w:hint="eastAsia"/>
                <w:bCs/>
                <w:color w:val="000000"/>
                <w:kern w:val="0"/>
                <w:sz w:val="28"/>
                <w:szCs w:val="28"/>
              </w:rPr>
              <w:t>前期建设</w:t>
            </w:r>
            <w:r>
              <w:rPr>
                <w:rFonts w:ascii="方正仿宋_GBK" w:eastAsia="方正仿宋_GBK" w:hAnsi="仿宋_GB2312" w:cs="仿宋_GB2312" w:hint="eastAsia"/>
                <w:bCs/>
                <w:color w:val="000000"/>
                <w:kern w:val="0"/>
                <w:sz w:val="28"/>
                <w:szCs w:val="28"/>
              </w:rPr>
              <w:t>投入</w:t>
            </w:r>
            <w:r>
              <w:rPr>
                <w:rFonts w:ascii="方正仿宋_GBK" w:eastAsia="方正仿宋_GBK" w:hAnsi="仿宋_GB2312" w:cs="仿宋_GB2312"/>
                <w:bCs/>
                <w:color w:val="000000"/>
                <w:kern w:val="0"/>
                <w:sz w:val="28"/>
                <w:szCs w:val="28"/>
              </w:rPr>
              <w:t>较大</w:t>
            </w:r>
            <w:r>
              <w:rPr>
                <w:rFonts w:ascii="方正仿宋_GBK" w:eastAsia="方正仿宋_GBK" w:hAnsi="仿宋_GB2312" w:cs="仿宋_GB2312" w:hint="eastAsia"/>
                <w:bCs/>
                <w:color w:val="000000"/>
                <w:kern w:val="0"/>
                <w:sz w:val="28"/>
                <w:szCs w:val="28"/>
              </w:rPr>
              <w:t>，</w:t>
            </w:r>
            <w:r w:rsidR="00E153E9" w:rsidRPr="00E153E9">
              <w:rPr>
                <w:rFonts w:ascii="方正仿宋_GBK" w:eastAsia="方正仿宋_GBK" w:hAnsi="仿宋_GB2312" w:cs="仿宋_GB2312"/>
                <w:bCs/>
                <w:color w:val="000000"/>
                <w:kern w:val="0"/>
                <w:sz w:val="28"/>
                <w:szCs w:val="28"/>
              </w:rPr>
              <w:t>财务成本及折旧费用较高，短期效益不明显。随着区域经济的发展，</w:t>
            </w:r>
            <w:r w:rsidR="00E153E9">
              <w:rPr>
                <w:rFonts w:ascii="方正仿宋_GBK" w:eastAsia="方正仿宋_GBK" w:hAnsi="仿宋_GB2312" w:cs="仿宋_GB2312" w:hint="eastAsia"/>
                <w:bCs/>
                <w:color w:val="000000"/>
                <w:kern w:val="0"/>
                <w:sz w:val="28"/>
                <w:szCs w:val="28"/>
              </w:rPr>
              <w:t>珞璜港</w:t>
            </w:r>
            <w:r w:rsidR="00E153E9" w:rsidRPr="00E153E9">
              <w:rPr>
                <w:rFonts w:ascii="方正仿宋_GBK" w:eastAsia="方正仿宋_GBK" w:hAnsi="仿宋_GB2312" w:cs="仿宋_GB2312"/>
                <w:bCs/>
                <w:color w:val="000000"/>
                <w:kern w:val="0"/>
                <w:sz w:val="28"/>
                <w:szCs w:val="28"/>
              </w:rPr>
              <w:t>的通过能力将逐步得以释放，</w:t>
            </w:r>
            <w:r w:rsidR="00387261">
              <w:rPr>
                <w:rFonts w:ascii="方正仿宋_GBK" w:eastAsia="方正仿宋_GBK" w:hAnsi="仿宋_GB2312" w:cs="仿宋_GB2312" w:hint="eastAsia"/>
                <w:bCs/>
                <w:color w:val="000000"/>
                <w:kern w:val="0"/>
                <w:sz w:val="28"/>
                <w:szCs w:val="28"/>
              </w:rPr>
              <w:t>经营状况</w:t>
            </w:r>
            <w:r w:rsidR="00A732F5">
              <w:rPr>
                <w:rFonts w:ascii="方正仿宋_GBK" w:eastAsia="方正仿宋_GBK" w:hAnsi="仿宋_GB2312" w:cs="仿宋_GB2312" w:hint="eastAsia"/>
                <w:bCs/>
                <w:color w:val="000000"/>
                <w:kern w:val="0"/>
                <w:sz w:val="28"/>
                <w:szCs w:val="28"/>
              </w:rPr>
              <w:t>也</w:t>
            </w:r>
            <w:r w:rsidR="00387261">
              <w:rPr>
                <w:rFonts w:ascii="方正仿宋_GBK" w:eastAsia="方正仿宋_GBK" w:hAnsi="仿宋_GB2312" w:cs="仿宋_GB2312" w:hint="eastAsia"/>
                <w:bCs/>
                <w:color w:val="000000"/>
                <w:kern w:val="0"/>
                <w:sz w:val="28"/>
                <w:szCs w:val="28"/>
              </w:rPr>
              <w:t>将</w:t>
            </w:r>
            <w:r w:rsidR="00387261">
              <w:rPr>
                <w:rFonts w:ascii="方正仿宋_GBK" w:eastAsia="方正仿宋_GBK" w:hAnsi="仿宋_GB2312" w:cs="仿宋_GB2312"/>
                <w:bCs/>
                <w:color w:val="000000"/>
                <w:kern w:val="0"/>
                <w:sz w:val="28"/>
                <w:szCs w:val="28"/>
              </w:rPr>
              <w:t>逐步</w:t>
            </w:r>
            <w:r w:rsidR="00A732F5">
              <w:rPr>
                <w:rFonts w:ascii="方正仿宋_GBK" w:eastAsia="方正仿宋_GBK" w:hAnsi="仿宋_GB2312" w:cs="仿宋_GB2312" w:hint="eastAsia"/>
                <w:bCs/>
                <w:color w:val="000000"/>
                <w:kern w:val="0"/>
                <w:sz w:val="28"/>
                <w:szCs w:val="28"/>
              </w:rPr>
              <w:t>得到</w:t>
            </w:r>
            <w:r w:rsidR="00387261">
              <w:rPr>
                <w:rFonts w:ascii="方正仿宋_GBK" w:eastAsia="方正仿宋_GBK" w:hAnsi="仿宋_GB2312" w:cs="仿宋_GB2312"/>
                <w:bCs/>
                <w:color w:val="000000"/>
                <w:kern w:val="0"/>
                <w:sz w:val="28"/>
                <w:szCs w:val="28"/>
              </w:rPr>
              <w:t>改善</w:t>
            </w:r>
            <w:r w:rsidR="00E153E9" w:rsidRPr="00E153E9">
              <w:rPr>
                <w:rFonts w:ascii="方正仿宋_GBK" w:eastAsia="方正仿宋_GBK" w:hAnsi="仿宋_GB2312" w:cs="仿宋_GB2312"/>
                <w:bCs/>
                <w:color w:val="000000"/>
                <w:kern w:val="0"/>
                <w:sz w:val="28"/>
                <w:szCs w:val="28"/>
              </w:rPr>
              <w:t>。</w:t>
            </w:r>
          </w:p>
          <w:p w:rsidR="00A54CC9" w:rsidRPr="00A54CC9" w:rsidRDefault="000E0F88" w:rsidP="00A54CC9">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三</w:t>
            </w:r>
            <w:r w:rsidR="00A54CC9">
              <w:rPr>
                <w:rFonts w:ascii="方正黑体_GBK" w:eastAsia="方正黑体_GBK" w:hAnsi="仿宋_GB2312" w:cs="仿宋_GB2312" w:hint="eastAsia"/>
                <w:bCs/>
                <w:color w:val="000000"/>
                <w:kern w:val="0"/>
                <w:sz w:val="28"/>
                <w:szCs w:val="28"/>
              </w:rPr>
              <w:t>、</w:t>
            </w:r>
            <w:r w:rsidR="00A54CC9" w:rsidRPr="00A54CC9">
              <w:rPr>
                <w:rFonts w:ascii="方正黑体_GBK" w:eastAsia="方正黑体_GBK" w:hAnsi="仿宋_GB2312" w:cs="仿宋_GB2312" w:hint="eastAsia"/>
                <w:bCs/>
                <w:color w:val="000000"/>
                <w:kern w:val="0"/>
                <w:sz w:val="28"/>
                <w:szCs w:val="28"/>
              </w:rPr>
              <w:t>如何看待港口行业整合？</w:t>
            </w:r>
          </w:p>
          <w:p w:rsidR="00A54CC9" w:rsidRPr="00A54CC9" w:rsidRDefault="009B4B17" w:rsidP="00A54CC9">
            <w:pPr>
              <w:widowControl/>
              <w:spacing w:line="440" w:lineRule="exact"/>
              <w:ind w:firstLineChars="200" w:firstLine="560"/>
              <w:rPr>
                <w:rFonts w:ascii="方正仿宋_GBK" w:eastAsia="方正仿宋_GBK" w:hAnsi="仿宋_GB2312" w:cs="仿宋_GB2312"/>
                <w:bCs/>
                <w:color w:val="000000"/>
                <w:kern w:val="0"/>
                <w:sz w:val="28"/>
                <w:szCs w:val="28"/>
              </w:rPr>
            </w:pPr>
            <w:r w:rsidRPr="009B4B17">
              <w:rPr>
                <w:rFonts w:ascii="方正仿宋_GBK" w:eastAsia="方正仿宋_GBK" w:hAnsi="仿宋_GB2312" w:cs="仿宋_GB2312" w:hint="eastAsia"/>
                <w:bCs/>
                <w:color w:val="000000"/>
                <w:kern w:val="0"/>
                <w:sz w:val="28"/>
                <w:szCs w:val="28"/>
              </w:rPr>
              <w:t>近年来，全国以省域为范围的港口资源整合渐成趋势，沿海沿江大部分省市均进行了港口整合。江苏、浙江、山东、辽宁、四川等地以“一城一港”、“一省一集团”的思路成立省港集团，区域内港口同质化</w:t>
            </w:r>
            <w:r w:rsidRPr="009B4B17">
              <w:rPr>
                <w:rFonts w:ascii="方正仿宋_GBK" w:eastAsia="方正仿宋_GBK" w:hAnsi="仿宋_GB2312" w:cs="仿宋_GB2312" w:hint="eastAsia"/>
                <w:bCs/>
                <w:color w:val="000000"/>
                <w:kern w:val="0"/>
                <w:sz w:val="28"/>
                <w:szCs w:val="28"/>
              </w:rPr>
              <w:lastRenderedPageBreak/>
              <w:t>竞争得到有效改善，特色化、差异化、规模化发展方向得到明确，优势互补、错位协同、融合发展的新格局正在逐步形成。重庆港认真研究分析其他省市港口行业整合经验，积极探索港口行业整合新思路。</w:t>
            </w:r>
            <w:bookmarkStart w:id="0" w:name="_GoBack"/>
            <w:bookmarkEnd w:id="0"/>
          </w:p>
          <w:p w:rsidR="00A54CC9" w:rsidRPr="00A54CC9" w:rsidRDefault="000E0F88" w:rsidP="00A54CC9">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四</w:t>
            </w:r>
            <w:r w:rsidR="00A54CC9">
              <w:rPr>
                <w:rFonts w:ascii="方正黑体_GBK" w:eastAsia="方正黑体_GBK" w:hAnsi="仿宋_GB2312" w:cs="仿宋_GB2312" w:hint="eastAsia"/>
                <w:bCs/>
                <w:color w:val="000000"/>
                <w:kern w:val="0"/>
                <w:sz w:val="28"/>
                <w:szCs w:val="28"/>
              </w:rPr>
              <w:t>、</w:t>
            </w:r>
            <w:r w:rsidR="009C0C59">
              <w:rPr>
                <w:rFonts w:ascii="方正黑体_GBK" w:eastAsia="方正黑体_GBK" w:hAnsi="仿宋_GB2312" w:cs="仿宋_GB2312" w:hint="eastAsia"/>
                <w:bCs/>
                <w:color w:val="000000"/>
                <w:kern w:val="0"/>
                <w:sz w:val="28"/>
                <w:szCs w:val="28"/>
              </w:rPr>
              <w:t>深入推进</w:t>
            </w:r>
            <w:r w:rsidR="00A54CC9" w:rsidRPr="00A54CC9">
              <w:rPr>
                <w:rFonts w:ascii="方正黑体_GBK" w:eastAsia="方正黑体_GBK" w:hAnsi="仿宋_GB2312" w:cs="仿宋_GB2312" w:hint="eastAsia"/>
                <w:bCs/>
                <w:color w:val="000000"/>
                <w:kern w:val="0"/>
                <w:sz w:val="28"/>
                <w:szCs w:val="28"/>
              </w:rPr>
              <w:t>西部</w:t>
            </w:r>
            <w:r w:rsidR="008F4536">
              <w:rPr>
                <w:rFonts w:ascii="方正黑体_GBK" w:eastAsia="方正黑体_GBK" w:hAnsi="仿宋_GB2312" w:cs="仿宋_GB2312" w:hint="eastAsia"/>
                <w:bCs/>
                <w:color w:val="000000"/>
                <w:kern w:val="0"/>
                <w:sz w:val="28"/>
                <w:szCs w:val="28"/>
              </w:rPr>
              <w:t>大</w:t>
            </w:r>
            <w:r w:rsidR="00A54CC9" w:rsidRPr="00A54CC9">
              <w:rPr>
                <w:rFonts w:ascii="方正黑体_GBK" w:eastAsia="方正黑体_GBK" w:hAnsi="仿宋_GB2312" w:cs="仿宋_GB2312" w:hint="eastAsia"/>
                <w:bCs/>
                <w:color w:val="000000"/>
                <w:kern w:val="0"/>
                <w:sz w:val="28"/>
                <w:szCs w:val="28"/>
              </w:rPr>
              <w:t>开发</w:t>
            </w:r>
            <w:r w:rsidR="008F4536">
              <w:rPr>
                <w:rFonts w:ascii="方正黑体_GBK" w:eastAsia="方正黑体_GBK" w:hAnsi="仿宋_GB2312" w:cs="仿宋_GB2312" w:hint="eastAsia"/>
                <w:bCs/>
                <w:color w:val="000000"/>
                <w:kern w:val="0"/>
                <w:sz w:val="28"/>
                <w:szCs w:val="28"/>
              </w:rPr>
              <w:t>能为公司带来哪些</w:t>
            </w:r>
            <w:r w:rsidR="00A54CC9" w:rsidRPr="00A54CC9">
              <w:rPr>
                <w:rFonts w:ascii="方正黑体_GBK" w:eastAsia="方正黑体_GBK" w:hAnsi="仿宋_GB2312" w:cs="仿宋_GB2312" w:hint="eastAsia"/>
                <w:bCs/>
                <w:color w:val="000000"/>
                <w:kern w:val="0"/>
                <w:sz w:val="28"/>
                <w:szCs w:val="28"/>
              </w:rPr>
              <w:t>机遇？</w:t>
            </w:r>
          </w:p>
          <w:p w:rsidR="00A54CC9" w:rsidRPr="00A54CC9" w:rsidRDefault="005D0544" w:rsidP="00A54CC9">
            <w:pPr>
              <w:widowControl/>
              <w:spacing w:line="440" w:lineRule="exact"/>
              <w:ind w:firstLineChars="200" w:firstLine="560"/>
              <w:rPr>
                <w:rFonts w:ascii="方正仿宋_GBK" w:eastAsia="方正仿宋_GBK" w:hAnsi="仿宋_GB2312" w:cs="仿宋_GB2312"/>
                <w:bCs/>
                <w:color w:val="000000"/>
                <w:kern w:val="0"/>
                <w:sz w:val="28"/>
                <w:szCs w:val="28"/>
              </w:rPr>
            </w:pPr>
            <w:r>
              <w:rPr>
                <w:rFonts w:ascii="方正仿宋_GBK" w:eastAsia="方正仿宋_GBK" w:hAnsi="仿宋_GB2312" w:cs="仿宋_GB2312" w:hint="eastAsia"/>
                <w:bCs/>
                <w:color w:val="000000"/>
                <w:kern w:val="0"/>
                <w:sz w:val="28"/>
                <w:szCs w:val="28"/>
              </w:rPr>
              <w:t>新时代</w:t>
            </w:r>
            <w:r w:rsidR="00A54CC9" w:rsidRPr="00A54CC9">
              <w:rPr>
                <w:rFonts w:ascii="方正仿宋_GBK" w:eastAsia="方正仿宋_GBK" w:hAnsi="仿宋_GB2312" w:cs="仿宋_GB2312" w:hint="eastAsia"/>
                <w:bCs/>
                <w:color w:val="000000"/>
                <w:kern w:val="0"/>
                <w:sz w:val="28"/>
                <w:szCs w:val="28"/>
              </w:rPr>
              <w:t>西部大开发为重庆港带来了诸多积极影响。一是提升了重庆港的地位。随着西部大开发的持续推进，西部地区经济的快速发展，对交通运输的需求日益增加，而重庆港作为长江上游的重要港口，其成为连接西南与东部沿海地区的重要枢纽港。二是为重庆港带来更多发展机遇。西部大开发促进了重庆乃至整个西部地区产业结构的升级转型，西部地区正大力推动新能源、新材料、生物技术、航空航天等战略性新兴产业发展，公司可以依托这些产业的发展，拓展物流服务，增加货物吞吐量。三是增强多式联运服务水平。重庆出台16条举措支持西部陆海新通道高质量发展，促进其与中欧班列、长江黄金水道的协同联动，增强了重庆港对云、贵、川等地货源的集聚能力，可以提升公司铁水联运量，有助于公司提升集散分拨能力，增强多式联运服务水平。</w:t>
            </w:r>
          </w:p>
          <w:p w:rsidR="00A54CC9" w:rsidRPr="00A54CC9" w:rsidRDefault="000E0F88" w:rsidP="00A54CC9">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五</w:t>
            </w:r>
            <w:r w:rsidR="00A54CC9">
              <w:rPr>
                <w:rFonts w:ascii="方正黑体_GBK" w:eastAsia="方正黑体_GBK" w:hAnsi="仿宋_GB2312" w:cs="仿宋_GB2312" w:hint="eastAsia"/>
                <w:bCs/>
                <w:color w:val="000000"/>
                <w:kern w:val="0"/>
                <w:sz w:val="28"/>
                <w:szCs w:val="28"/>
              </w:rPr>
              <w:t>、</w:t>
            </w:r>
            <w:r w:rsidR="008F4536">
              <w:rPr>
                <w:rFonts w:ascii="方正黑体_GBK" w:eastAsia="方正黑体_GBK" w:hAnsi="仿宋_GB2312" w:cs="仿宋_GB2312" w:hint="eastAsia"/>
                <w:bCs/>
                <w:color w:val="000000"/>
                <w:kern w:val="0"/>
                <w:sz w:val="28"/>
                <w:szCs w:val="28"/>
              </w:rPr>
              <w:t>公司</w:t>
            </w:r>
            <w:r w:rsidR="00935A87">
              <w:rPr>
                <w:rFonts w:ascii="方正黑体_GBK" w:eastAsia="方正黑体_GBK" w:hAnsi="仿宋_GB2312" w:cs="仿宋_GB2312" w:hint="eastAsia"/>
                <w:bCs/>
                <w:color w:val="000000"/>
                <w:kern w:val="0"/>
                <w:sz w:val="28"/>
                <w:szCs w:val="28"/>
              </w:rPr>
              <w:t>目前</w:t>
            </w:r>
            <w:r w:rsidR="00A54CC9" w:rsidRPr="00A54CC9">
              <w:rPr>
                <w:rFonts w:ascii="方正黑体_GBK" w:eastAsia="方正黑体_GBK" w:hAnsi="仿宋_GB2312" w:cs="仿宋_GB2312" w:hint="eastAsia"/>
                <w:bCs/>
                <w:color w:val="000000"/>
                <w:kern w:val="0"/>
                <w:sz w:val="28"/>
                <w:szCs w:val="28"/>
              </w:rPr>
              <w:t>的</w:t>
            </w:r>
            <w:r w:rsidR="00935A87">
              <w:rPr>
                <w:rFonts w:ascii="方正黑体_GBK" w:eastAsia="方正黑体_GBK" w:hAnsi="仿宋_GB2312" w:cs="仿宋_GB2312" w:hint="eastAsia"/>
                <w:bCs/>
                <w:color w:val="000000"/>
                <w:kern w:val="0"/>
                <w:sz w:val="28"/>
                <w:szCs w:val="28"/>
              </w:rPr>
              <w:t>现金</w:t>
            </w:r>
            <w:r w:rsidR="00A54CC9" w:rsidRPr="00A54CC9">
              <w:rPr>
                <w:rFonts w:ascii="方正黑体_GBK" w:eastAsia="方正黑体_GBK" w:hAnsi="仿宋_GB2312" w:cs="仿宋_GB2312" w:hint="eastAsia"/>
                <w:bCs/>
                <w:color w:val="000000"/>
                <w:kern w:val="0"/>
                <w:sz w:val="28"/>
                <w:szCs w:val="28"/>
              </w:rPr>
              <w:t>分红政策</w:t>
            </w:r>
            <w:r w:rsidR="008F4536">
              <w:rPr>
                <w:rFonts w:ascii="方正黑体_GBK" w:eastAsia="方正黑体_GBK" w:hAnsi="仿宋_GB2312" w:cs="仿宋_GB2312" w:hint="eastAsia"/>
                <w:bCs/>
                <w:color w:val="000000"/>
                <w:kern w:val="0"/>
                <w:sz w:val="28"/>
                <w:szCs w:val="28"/>
              </w:rPr>
              <w:t>如何</w:t>
            </w:r>
            <w:r w:rsidR="00A54CC9" w:rsidRPr="00A54CC9">
              <w:rPr>
                <w:rFonts w:ascii="方正黑体_GBK" w:eastAsia="方正黑体_GBK" w:hAnsi="仿宋_GB2312" w:cs="仿宋_GB2312" w:hint="eastAsia"/>
                <w:bCs/>
                <w:color w:val="000000"/>
                <w:kern w:val="0"/>
                <w:sz w:val="28"/>
                <w:szCs w:val="28"/>
              </w:rPr>
              <w:t>？</w:t>
            </w:r>
            <w:r w:rsidR="00935A87">
              <w:rPr>
                <w:rFonts w:ascii="方正黑体_GBK" w:eastAsia="方正黑体_GBK" w:hAnsi="仿宋_GB2312" w:cs="仿宋_GB2312" w:hint="eastAsia"/>
                <w:bCs/>
                <w:color w:val="000000"/>
                <w:kern w:val="0"/>
                <w:sz w:val="28"/>
                <w:szCs w:val="28"/>
              </w:rPr>
              <w:t>未来</w:t>
            </w:r>
            <w:r w:rsidR="00A54CC9" w:rsidRPr="00A54CC9">
              <w:rPr>
                <w:rFonts w:ascii="方正黑体_GBK" w:eastAsia="方正黑体_GBK" w:hAnsi="仿宋_GB2312" w:cs="仿宋_GB2312" w:hint="eastAsia"/>
                <w:bCs/>
                <w:color w:val="000000"/>
                <w:kern w:val="0"/>
                <w:sz w:val="28"/>
                <w:szCs w:val="28"/>
              </w:rPr>
              <w:t>是否考虑提高</w:t>
            </w:r>
            <w:r w:rsidR="00935A87">
              <w:rPr>
                <w:rFonts w:ascii="方正黑体_GBK" w:eastAsia="方正黑体_GBK" w:hAnsi="仿宋_GB2312" w:cs="仿宋_GB2312" w:hint="eastAsia"/>
                <w:bCs/>
                <w:color w:val="000000"/>
                <w:kern w:val="0"/>
                <w:sz w:val="28"/>
                <w:szCs w:val="28"/>
              </w:rPr>
              <w:t>现金</w:t>
            </w:r>
            <w:r w:rsidR="00A54CC9" w:rsidRPr="00A54CC9">
              <w:rPr>
                <w:rFonts w:ascii="方正黑体_GBK" w:eastAsia="方正黑体_GBK" w:hAnsi="仿宋_GB2312" w:cs="仿宋_GB2312" w:hint="eastAsia"/>
                <w:bCs/>
                <w:color w:val="000000"/>
                <w:kern w:val="0"/>
                <w:sz w:val="28"/>
                <w:szCs w:val="28"/>
              </w:rPr>
              <w:t>分红比例？</w:t>
            </w:r>
          </w:p>
          <w:p w:rsidR="00A54CC9" w:rsidRPr="00A54CC9" w:rsidRDefault="00A54CC9" w:rsidP="00A54CC9">
            <w:pPr>
              <w:widowControl/>
              <w:spacing w:line="440" w:lineRule="exact"/>
              <w:ind w:firstLineChars="200" w:firstLine="560"/>
              <w:rPr>
                <w:rFonts w:ascii="方正仿宋_GBK" w:eastAsia="方正仿宋_GBK" w:hAnsi="仿宋_GB2312" w:cs="仿宋_GB2312"/>
                <w:bCs/>
                <w:color w:val="000000"/>
                <w:kern w:val="0"/>
                <w:sz w:val="28"/>
                <w:szCs w:val="28"/>
              </w:rPr>
            </w:pPr>
            <w:r w:rsidRPr="00A54CC9">
              <w:rPr>
                <w:rFonts w:ascii="方正仿宋_GBK" w:eastAsia="方正仿宋_GBK" w:hAnsi="仿宋_GB2312" w:cs="仿宋_GB2312" w:hint="eastAsia"/>
                <w:bCs/>
                <w:color w:val="000000"/>
                <w:kern w:val="0"/>
                <w:sz w:val="28"/>
                <w:szCs w:val="28"/>
              </w:rPr>
              <w:t>根据《公司章程》规定，在保证公司能够持续经营和长期发展的前提下，公司应当采取现金方式分配股利，公司每年以现金方式分配的利润原则上不少于当年实现的可供分配利润的百分之十，具体每个年度的分红比例由董事会根据中国证监会有关规定、公司年度盈利状况和未来资金使用计划提出预案。</w:t>
            </w:r>
          </w:p>
          <w:p w:rsidR="00A54CC9" w:rsidRPr="00A54CC9" w:rsidRDefault="00A54CC9" w:rsidP="00A54CC9">
            <w:pPr>
              <w:widowControl/>
              <w:spacing w:line="440" w:lineRule="exact"/>
              <w:ind w:firstLineChars="200" w:firstLine="560"/>
              <w:rPr>
                <w:rFonts w:ascii="方正黑体_GBK" w:eastAsia="方正黑体_GBK" w:hAnsi="仿宋_GB2312" w:cs="仿宋_GB2312"/>
                <w:bCs/>
                <w:color w:val="000000"/>
                <w:kern w:val="0"/>
                <w:sz w:val="28"/>
                <w:szCs w:val="28"/>
              </w:rPr>
            </w:pPr>
            <w:r w:rsidRPr="00A54CC9">
              <w:rPr>
                <w:rFonts w:ascii="方正仿宋_GBK" w:eastAsia="方正仿宋_GBK" w:hAnsi="仿宋_GB2312" w:cs="仿宋_GB2312" w:hint="eastAsia"/>
                <w:bCs/>
                <w:color w:val="000000"/>
                <w:kern w:val="0"/>
                <w:sz w:val="28"/>
                <w:szCs w:val="28"/>
              </w:rPr>
              <w:t>公司一直致力于为投资者提供稳健的投资回报，自2000年上市以来每年均进行现金分红，共计派发现</w:t>
            </w:r>
            <w:r w:rsidRPr="00A54CC9">
              <w:rPr>
                <w:rFonts w:ascii="方正仿宋_GBK" w:eastAsia="方正仿宋_GBK" w:hAnsi="仿宋_GB2312" w:cs="仿宋_GB2312" w:hint="eastAsia"/>
                <w:bCs/>
                <w:color w:val="000000"/>
                <w:kern w:val="0"/>
                <w:sz w:val="28"/>
                <w:szCs w:val="28"/>
              </w:rPr>
              <w:lastRenderedPageBreak/>
              <w:t>金股利7.51亿元。后续，公司将在综合考虑公司战略发展目标、股东意愿的基础上，结合公司的盈利情况和现金流量情况、经营发展规划及企业所处的发展阶段、资金需求情况、社会资金成本以及外部融资环境等因素制定未来的</w:t>
            </w:r>
            <w:r w:rsidR="00935A87">
              <w:rPr>
                <w:rFonts w:ascii="方正仿宋_GBK" w:eastAsia="方正仿宋_GBK" w:hAnsi="仿宋_GB2312" w:cs="仿宋_GB2312" w:hint="eastAsia"/>
                <w:bCs/>
                <w:color w:val="000000"/>
                <w:kern w:val="0"/>
                <w:sz w:val="28"/>
                <w:szCs w:val="28"/>
              </w:rPr>
              <w:t>现金</w:t>
            </w:r>
            <w:r w:rsidRPr="00A54CC9">
              <w:rPr>
                <w:rFonts w:ascii="方正仿宋_GBK" w:eastAsia="方正仿宋_GBK" w:hAnsi="仿宋_GB2312" w:cs="仿宋_GB2312" w:hint="eastAsia"/>
                <w:bCs/>
                <w:color w:val="000000"/>
                <w:kern w:val="0"/>
                <w:sz w:val="28"/>
                <w:szCs w:val="28"/>
              </w:rPr>
              <w:t>分红政策。</w:t>
            </w:r>
          </w:p>
          <w:p w:rsidR="00A54CC9" w:rsidRPr="00A54CC9" w:rsidRDefault="000E0F88" w:rsidP="00A54CC9">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六</w:t>
            </w:r>
            <w:r w:rsidR="00A54CC9">
              <w:rPr>
                <w:rFonts w:ascii="方正黑体_GBK" w:eastAsia="方正黑体_GBK" w:hAnsi="仿宋_GB2312" w:cs="仿宋_GB2312" w:hint="eastAsia"/>
                <w:bCs/>
                <w:color w:val="000000"/>
                <w:kern w:val="0"/>
                <w:sz w:val="28"/>
                <w:szCs w:val="28"/>
              </w:rPr>
              <w:t>、</w:t>
            </w:r>
            <w:r w:rsidR="008F4536">
              <w:rPr>
                <w:rFonts w:ascii="方正黑体_GBK" w:eastAsia="方正黑体_GBK" w:hAnsi="仿宋_GB2312" w:cs="仿宋_GB2312" w:hint="eastAsia"/>
                <w:bCs/>
                <w:color w:val="000000"/>
                <w:kern w:val="0"/>
                <w:sz w:val="28"/>
                <w:szCs w:val="28"/>
              </w:rPr>
              <w:t>公司</w:t>
            </w:r>
            <w:r w:rsidR="008F4536">
              <w:rPr>
                <w:rFonts w:ascii="方正黑体_GBK" w:eastAsia="方正黑体_GBK" w:hAnsi="仿宋_GB2312" w:cs="仿宋_GB2312"/>
                <w:bCs/>
                <w:color w:val="000000"/>
                <w:kern w:val="0"/>
                <w:sz w:val="28"/>
                <w:szCs w:val="28"/>
              </w:rPr>
              <w:t>的</w:t>
            </w:r>
            <w:r w:rsidR="00B039AD">
              <w:rPr>
                <w:rFonts w:ascii="方正黑体_GBK" w:eastAsia="方正黑体_GBK" w:hAnsi="仿宋_GB2312" w:cs="仿宋_GB2312" w:hint="eastAsia"/>
                <w:bCs/>
                <w:color w:val="000000"/>
                <w:kern w:val="0"/>
                <w:sz w:val="28"/>
                <w:szCs w:val="28"/>
              </w:rPr>
              <w:t>在建项目</w:t>
            </w:r>
            <w:r w:rsidR="008F4536">
              <w:rPr>
                <w:rFonts w:ascii="方正黑体_GBK" w:eastAsia="方正黑体_GBK" w:hAnsi="仿宋_GB2312" w:cs="仿宋_GB2312" w:hint="eastAsia"/>
                <w:bCs/>
                <w:color w:val="000000"/>
                <w:kern w:val="0"/>
                <w:sz w:val="28"/>
                <w:szCs w:val="28"/>
              </w:rPr>
              <w:t>有哪些</w:t>
            </w:r>
            <w:r w:rsidR="00A54CC9" w:rsidRPr="00A54CC9">
              <w:rPr>
                <w:rFonts w:ascii="方正黑体_GBK" w:eastAsia="方正黑体_GBK" w:hAnsi="仿宋_GB2312" w:cs="仿宋_GB2312"/>
                <w:bCs/>
                <w:color w:val="000000"/>
                <w:kern w:val="0"/>
                <w:sz w:val="28"/>
                <w:szCs w:val="28"/>
              </w:rPr>
              <w:t>？</w:t>
            </w:r>
          </w:p>
          <w:p w:rsidR="00B039AD" w:rsidRDefault="00B039AD" w:rsidP="00A54CC9">
            <w:pPr>
              <w:widowControl/>
              <w:spacing w:line="440" w:lineRule="exact"/>
              <w:ind w:firstLineChars="200" w:firstLine="560"/>
              <w:rPr>
                <w:rFonts w:ascii="方正仿宋_GBK" w:eastAsia="方正仿宋_GBK" w:hAnsi="仿宋_GB2312" w:cs="仿宋_GB2312"/>
                <w:bCs/>
                <w:color w:val="000000"/>
                <w:kern w:val="0"/>
                <w:sz w:val="28"/>
                <w:szCs w:val="28"/>
              </w:rPr>
            </w:pPr>
            <w:r w:rsidRPr="00A54CC9">
              <w:rPr>
                <w:rFonts w:ascii="方正仿宋_GBK" w:eastAsia="方正仿宋_GBK" w:hAnsi="仿宋_GB2312" w:cs="仿宋_GB2312" w:hint="eastAsia"/>
                <w:bCs/>
                <w:color w:val="000000"/>
                <w:kern w:val="0"/>
                <w:sz w:val="28"/>
                <w:szCs w:val="28"/>
              </w:rPr>
              <w:t>目前</w:t>
            </w:r>
            <w:r>
              <w:rPr>
                <w:rFonts w:ascii="方正仿宋_GBK" w:eastAsia="方正仿宋_GBK" w:hAnsi="仿宋_GB2312" w:cs="仿宋_GB2312" w:hint="eastAsia"/>
                <w:bCs/>
                <w:color w:val="000000"/>
                <w:kern w:val="0"/>
                <w:sz w:val="28"/>
                <w:szCs w:val="28"/>
              </w:rPr>
              <w:t>，</w:t>
            </w:r>
            <w:r w:rsidR="00A54CC9" w:rsidRPr="00A54CC9">
              <w:rPr>
                <w:rFonts w:ascii="方正仿宋_GBK" w:eastAsia="方正仿宋_GBK" w:hAnsi="仿宋_GB2312" w:cs="仿宋_GB2312" w:hint="eastAsia"/>
                <w:bCs/>
                <w:color w:val="000000"/>
                <w:kern w:val="0"/>
                <w:sz w:val="28"/>
                <w:szCs w:val="28"/>
              </w:rPr>
              <w:t>公司尚有重庆港江津港区珞璜作业区改扩建工程、重庆港万州港区桐子园作业区升级改造工程、重庆港江津港区兰家沱作业区一期改建工程和重庆港江津港区兰家沱作业区1号堆场工程等在建项目。</w:t>
            </w:r>
          </w:p>
          <w:p w:rsidR="00A54CC9" w:rsidRPr="00A54CC9" w:rsidRDefault="000E0F88" w:rsidP="00A54CC9">
            <w:pPr>
              <w:widowControl/>
              <w:spacing w:line="440" w:lineRule="exact"/>
              <w:ind w:firstLineChars="200" w:firstLine="560"/>
              <w:rPr>
                <w:rFonts w:ascii="方正黑体_GBK" w:eastAsia="方正黑体_GBK" w:hAnsi="仿宋_GB2312" w:cs="仿宋_GB2312"/>
                <w:bCs/>
                <w:color w:val="000000"/>
                <w:kern w:val="0"/>
                <w:sz w:val="28"/>
                <w:szCs w:val="28"/>
              </w:rPr>
            </w:pPr>
            <w:r>
              <w:rPr>
                <w:rFonts w:ascii="方正黑体_GBK" w:eastAsia="方正黑体_GBK" w:hAnsi="仿宋_GB2312" w:cs="仿宋_GB2312" w:hint="eastAsia"/>
                <w:bCs/>
                <w:color w:val="000000"/>
                <w:kern w:val="0"/>
                <w:sz w:val="28"/>
                <w:szCs w:val="28"/>
              </w:rPr>
              <w:t>七</w:t>
            </w:r>
            <w:r w:rsidR="00A54CC9">
              <w:rPr>
                <w:rFonts w:ascii="方正黑体_GBK" w:eastAsia="方正黑体_GBK" w:hAnsi="仿宋_GB2312" w:cs="仿宋_GB2312" w:hint="eastAsia"/>
                <w:bCs/>
                <w:color w:val="000000"/>
                <w:kern w:val="0"/>
                <w:sz w:val="28"/>
                <w:szCs w:val="28"/>
              </w:rPr>
              <w:t>、</w:t>
            </w:r>
            <w:r w:rsidR="008F4536">
              <w:rPr>
                <w:rFonts w:ascii="方正黑体_GBK" w:eastAsia="方正黑体_GBK" w:hAnsi="仿宋_GB2312" w:cs="仿宋_GB2312" w:hint="eastAsia"/>
                <w:bCs/>
                <w:color w:val="000000"/>
                <w:kern w:val="0"/>
                <w:sz w:val="28"/>
                <w:szCs w:val="28"/>
              </w:rPr>
              <w:t>请公司介绍一下</w:t>
            </w:r>
            <w:r w:rsidR="00A54CC9" w:rsidRPr="00A54CC9">
              <w:rPr>
                <w:rFonts w:ascii="方正黑体_GBK" w:eastAsia="方正黑体_GBK" w:hAnsi="仿宋_GB2312" w:cs="仿宋_GB2312" w:hint="eastAsia"/>
                <w:bCs/>
                <w:color w:val="000000"/>
                <w:kern w:val="0"/>
                <w:sz w:val="28"/>
                <w:szCs w:val="28"/>
              </w:rPr>
              <w:t>两江物流吸收合并大宗公司的目的？</w:t>
            </w:r>
          </w:p>
          <w:p w:rsidR="00BE55D0" w:rsidRPr="00A54CC9" w:rsidRDefault="00A54CC9" w:rsidP="00A54CC9">
            <w:pPr>
              <w:widowControl/>
              <w:spacing w:line="440" w:lineRule="exact"/>
              <w:ind w:firstLineChars="200" w:firstLine="560"/>
              <w:rPr>
                <w:rFonts w:ascii="方正仿宋_GBK" w:eastAsia="方正仿宋_GBK" w:hAnsi="仿宋_GB2312" w:cs="仿宋_GB2312"/>
                <w:bCs/>
                <w:color w:val="000000"/>
                <w:kern w:val="0"/>
                <w:sz w:val="28"/>
                <w:szCs w:val="28"/>
              </w:rPr>
            </w:pPr>
            <w:r w:rsidRPr="00A54CC9">
              <w:rPr>
                <w:rFonts w:ascii="方正仿宋_GBK" w:eastAsia="方正仿宋_GBK" w:hAnsi="仿宋_GB2312" w:cs="仿宋_GB2312" w:hint="eastAsia"/>
                <w:bCs/>
                <w:color w:val="000000"/>
                <w:kern w:val="0"/>
                <w:sz w:val="28"/>
                <w:szCs w:val="28"/>
              </w:rPr>
              <w:t>两江物流吸收合并大宗公司是为了缩减管理链条，降低管理成本，提升内部管理效率，优化贸易业务管理模式。合并之后，两江物流可以充分利用果园港钢材市场优势，助力果园港打造成为西部大宗商品集散交易中心。</w:t>
            </w:r>
          </w:p>
        </w:tc>
      </w:tr>
      <w:tr w:rsidR="008C7A05" w:rsidRPr="00BE55D0" w:rsidTr="00E9788F">
        <w:trPr>
          <w:trHeight w:val="630"/>
          <w:jc w:val="center"/>
        </w:trPr>
        <w:tc>
          <w:tcPr>
            <w:tcW w:w="2552" w:type="dxa"/>
            <w:vAlign w:val="center"/>
          </w:tcPr>
          <w:p w:rsidR="008C7A05" w:rsidRDefault="008C7A05" w:rsidP="008C7A05">
            <w:pPr>
              <w:spacing w:line="400" w:lineRule="exact"/>
              <w:jc w:val="center"/>
              <w:rPr>
                <w:rFonts w:asciiTheme="minorEastAsia" w:hAnsiTheme="minorEastAsia"/>
                <w:color w:val="000000" w:themeColor="text1"/>
                <w:sz w:val="28"/>
                <w:szCs w:val="28"/>
              </w:rPr>
            </w:pPr>
            <w:r>
              <w:rPr>
                <w:rFonts w:asciiTheme="minorEastAsia" w:hAnsiTheme="minorEastAsia" w:hint="eastAsia"/>
                <w:color w:val="000000" w:themeColor="text1"/>
                <w:sz w:val="28"/>
                <w:szCs w:val="28"/>
              </w:rPr>
              <w:lastRenderedPageBreak/>
              <w:t>附件清单（如有）</w:t>
            </w:r>
          </w:p>
        </w:tc>
        <w:tc>
          <w:tcPr>
            <w:tcW w:w="6663" w:type="dxa"/>
            <w:vAlign w:val="center"/>
          </w:tcPr>
          <w:p w:rsidR="008C7A05" w:rsidRPr="00584E7D" w:rsidRDefault="008C7A05" w:rsidP="008C7A05">
            <w:pPr>
              <w:jc w:val="left"/>
              <w:rPr>
                <w:rFonts w:ascii="宋体" w:eastAsia="宋体" w:hAnsi="宋体"/>
                <w:color w:val="000000" w:themeColor="text1"/>
                <w:sz w:val="28"/>
                <w:szCs w:val="28"/>
              </w:rPr>
            </w:pPr>
            <w:r w:rsidRPr="00584E7D">
              <w:rPr>
                <w:rFonts w:ascii="宋体" w:eastAsia="宋体" w:hAnsi="宋体"/>
                <w:color w:val="000000" w:themeColor="text1"/>
                <w:sz w:val="28"/>
                <w:szCs w:val="28"/>
              </w:rPr>
              <w:t>无</w:t>
            </w:r>
          </w:p>
        </w:tc>
      </w:tr>
      <w:tr w:rsidR="008C7A05" w:rsidRPr="00BE55D0" w:rsidTr="00E9788F">
        <w:trPr>
          <w:trHeight w:val="630"/>
          <w:jc w:val="center"/>
        </w:trPr>
        <w:tc>
          <w:tcPr>
            <w:tcW w:w="2552" w:type="dxa"/>
            <w:vAlign w:val="center"/>
          </w:tcPr>
          <w:p w:rsidR="008C7A05" w:rsidRDefault="008C7A05" w:rsidP="008C7A05">
            <w:pPr>
              <w:jc w:val="center"/>
              <w:rPr>
                <w:rFonts w:asciiTheme="minorEastAsia" w:hAnsiTheme="minorEastAsia"/>
                <w:color w:val="000000" w:themeColor="text1"/>
                <w:sz w:val="28"/>
                <w:szCs w:val="28"/>
              </w:rPr>
            </w:pPr>
            <w:r>
              <w:rPr>
                <w:rFonts w:asciiTheme="minorEastAsia" w:hAnsiTheme="minorEastAsia"/>
                <w:color w:val="000000" w:themeColor="text1"/>
                <w:sz w:val="28"/>
                <w:szCs w:val="28"/>
              </w:rPr>
              <w:t>日</w:t>
            </w:r>
            <w:r>
              <w:rPr>
                <w:rFonts w:asciiTheme="minorEastAsia" w:hAnsiTheme="minorEastAsia" w:hint="eastAsia"/>
                <w:color w:val="000000" w:themeColor="text1"/>
                <w:sz w:val="28"/>
                <w:szCs w:val="28"/>
              </w:rPr>
              <w:t xml:space="preserve">   </w:t>
            </w:r>
            <w:r>
              <w:rPr>
                <w:rFonts w:asciiTheme="minorEastAsia" w:hAnsiTheme="minorEastAsia"/>
                <w:color w:val="000000" w:themeColor="text1"/>
                <w:sz w:val="28"/>
                <w:szCs w:val="28"/>
              </w:rPr>
              <w:t>期</w:t>
            </w:r>
          </w:p>
        </w:tc>
        <w:tc>
          <w:tcPr>
            <w:tcW w:w="6663" w:type="dxa"/>
            <w:vAlign w:val="center"/>
          </w:tcPr>
          <w:p w:rsidR="008C7A05" w:rsidRPr="00584E7D" w:rsidRDefault="008C7A05" w:rsidP="008C7A05">
            <w:pPr>
              <w:jc w:val="left"/>
              <w:rPr>
                <w:rFonts w:ascii="宋体" w:eastAsia="宋体" w:hAnsi="宋体"/>
                <w:color w:val="000000" w:themeColor="text1"/>
                <w:sz w:val="28"/>
                <w:szCs w:val="28"/>
              </w:rPr>
            </w:pPr>
            <w:r w:rsidRPr="00584E7D">
              <w:rPr>
                <w:rFonts w:ascii="宋体" w:eastAsia="宋体" w:hAnsi="宋体" w:hint="eastAsia"/>
                <w:color w:val="000000" w:themeColor="text1"/>
                <w:sz w:val="28"/>
                <w:szCs w:val="28"/>
              </w:rPr>
              <w:t>2</w:t>
            </w:r>
            <w:r w:rsidRPr="00584E7D">
              <w:rPr>
                <w:rFonts w:ascii="宋体" w:eastAsia="宋体" w:hAnsi="宋体"/>
                <w:color w:val="000000" w:themeColor="text1"/>
                <w:sz w:val="28"/>
                <w:szCs w:val="28"/>
              </w:rPr>
              <w:t>02</w:t>
            </w:r>
            <w:r>
              <w:rPr>
                <w:rFonts w:ascii="宋体" w:eastAsia="宋体" w:hAnsi="宋体"/>
                <w:color w:val="000000" w:themeColor="text1"/>
                <w:sz w:val="28"/>
                <w:szCs w:val="28"/>
              </w:rPr>
              <w:t>4</w:t>
            </w:r>
            <w:r w:rsidRPr="00584E7D">
              <w:rPr>
                <w:rFonts w:ascii="宋体" w:eastAsia="宋体" w:hAnsi="宋体" w:hint="eastAsia"/>
                <w:color w:val="000000" w:themeColor="text1"/>
                <w:sz w:val="28"/>
                <w:szCs w:val="28"/>
              </w:rPr>
              <w:t>年</w:t>
            </w:r>
            <w:r>
              <w:rPr>
                <w:rFonts w:ascii="宋体" w:eastAsia="宋体" w:hAnsi="宋体" w:hint="eastAsia"/>
                <w:color w:val="000000" w:themeColor="text1"/>
                <w:sz w:val="28"/>
                <w:szCs w:val="28"/>
              </w:rPr>
              <w:t>11</w:t>
            </w:r>
            <w:r w:rsidRPr="00584E7D">
              <w:rPr>
                <w:rFonts w:ascii="宋体" w:eastAsia="宋体" w:hAnsi="宋体" w:hint="eastAsia"/>
                <w:color w:val="000000" w:themeColor="text1"/>
                <w:sz w:val="28"/>
                <w:szCs w:val="28"/>
              </w:rPr>
              <w:t>月</w:t>
            </w:r>
            <w:r>
              <w:rPr>
                <w:rFonts w:ascii="宋体" w:eastAsia="宋体" w:hAnsi="宋体" w:hint="eastAsia"/>
                <w:color w:val="000000" w:themeColor="text1"/>
                <w:sz w:val="28"/>
                <w:szCs w:val="28"/>
              </w:rPr>
              <w:t>1</w:t>
            </w:r>
            <w:r w:rsidRPr="00584E7D">
              <w:rPr>
                <w:rFonts w:ascii="宋体" w:eastAsia="宋体" w:hAnsi="宋体" w:hint="eastAsia"/>
                <w:color w:val="000000" w:themeColor="text1"/>
                <w:sz w:val="28"/>
                <w:szCs w:val="28"/>
              </w:rPr>
              <w:t>日</w:t>
            </w:r>
          </w:p>
        </w:tc>
      </w:tr>
    </w:tbl>
    <w:p w:rsidR="00124829" w:rsidRPr="008C7A05" w:rsidRDefault="00124829" w:rsidP="008C7A05">
      <w:pPr>
        <w:widowControl/>
        <w:jc w:val="left"/>
        <w:rPr>
          <w:color w:val="000000" w:themeColor="text1"/>
        </w:rPr>
      </w:pPr>
    </w:p>
    <w:sectPr w:rsidR="00124829" w:rsidRPr="008C7A0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515" w:rsidRDefault="002E5515">
      <w:r>
        <w:separator/>
      </w:r>
    </w:p>
  </w:endnote>
  <w:endnote w:type="continuationSeparator" w:id="0">
    <w:p w:rsidR="002E5515" w:rsidRDefault="002E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ingfang sc">
    <w:altName w:val="Microsoft YaHei UI"/>
    <w:charset w:val="86"/>
    <w:family w:val="auto"/>
    <w:pitch w:val="default"/>
    <w:sig w:usb0="00000000" w:usb1="00000000" w:usb2="00000017" w:usb3="00000000" w:csb0="00040001" w:csb1="00000000"/>
  </w:font>
  <w:font w:name="Helvetica Neue">
    <w:altName w:val="Times New Roman"/>
    <w:charset w:val="00"/>
    <w:family w:val="auto"/>
    <w:pitch w:val="default"/>
    <w:sig w:usb0="00000000" w:usb1="00000000" w:usb2="00000010" w:usb3="00000000" w:csb0="0000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038838"/>
      <w:showingPlcHdr/>
    </w:sdtPr>
    <w:sdtEndPr/>
    <w:sdtContent>
      <w:p w:rsidR="00124829" w:rsidRDefault="00924FA1">
        <w:pPr>
          <w:pStyle w:val="a4"/>
          <w:jc w:val="center"/>
        </w:pPr>
        <w:r>
          <w:t xml:space="preserve">     </w:t>
        </w:r>
      </w:p>
    </w:sdtContent>
  </w:sdt>
  <w:p w:rsidR="00124829" w:rsidRDefault="0012482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515" w:rsidRDefault="002E5515">
      <w:r>
        <w:separator/>
      </w:r>
    </w:p>
  </w:footnote>
  <w:footnote w:type="continuationSeparator" w:id="0">
    <w:p w:rsidR="002E5515" w:rsidRDefault="002E5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93A9D15"/>
    <w:multiLevelType w:val="singleLevel"/>
    <w:tmpl w:val="E93A9D1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1YjU3Y2NjNjdjMmM2ZTg1ZDQ3ZTZjY2Y2NTQ1MTAifQ=="/>
  </w:docVars>
  <w:rsids>
    <w:rsidRoot w:val="00DD01C5"/>
    <w:rsid w:val="00003052"/>
    <w:rsid w:val="00004C21"/>
    <w:rsid w:val="0000578E"/>
    <w:rsid w:val="00006E25"/>
    <w:rsid w:val="000178CB"/>
    <w:rsid w:val="000217E3"/>
    <w:rsid w:val="0002775F"/>
    <w:rsid w:val="00040243"/>
    <w:rsid w:val="000432D8"/>
    <w:rsid w:val="000437FF"/>
    <w:rsid w:val="000447AE"/>
    <w:rsid w:val="00045F96"/>
    <w:rsid w:val="0004684F"/>
    <w:rsid w:val="00046ABF"/>
    <w:rsid w:val="00047B41"/>
    <w:rsid w:val="00047CC6"/>
    <w:rsid w:val="00052E32"/>
    <w:rsid w:val="00060C40"/>
    <w:rsid w:val="000642CB"/>
    <w:rsid w:val="00067A3B"/>
    <w:rsid w:val="00072F3D"/>
    <w:rsid w:val="00077D7E"/>
    <w:rsid w:val="000856CB"/>
    <w:rsid w:val="00086687"/>
    <w:rsid w:val="00092E36"/>
    <w:rsid w:val="000A6E8E"/>
    <w:rsid w:val="000A6F28"/>
    <w:rsid w:val="000B06A3"/>
    <w:rsid w:val="000C1DFC"/>
    <w:rsid w:val="000D3DD7"/>
    <w:rsid w:val="000D5EEC"/>
    <w:rsid w:val="000E0F88"/>
    <w:rsid w:val="000E5C81"/>
    <w:rsid w:val="000F7CBE"/>
    <w:rsid w:val="00112053"/>
    <w:rsid w:val="00113B24"/>
    <w:rsid w:val="00114601"/>
    <w:rsid w:val="00114978"/>
    <w:rsid w:val="00120D31"/>
    <w:rsid w:val="00121F50"/>
    <w:rsid w:val="00124829"/>
    <w:rsid w:val="0012601F"/>
    <w:rsid w:val="00126A56"/>
    <w:rsid w:val="00135EE8"/>
    <w:rsid w:val="001435CC"/>
    <w:rsid w:val="001565FC"/>
    <w:rsid w:val="00162408"/>
    <w:rsid w:val="00175C6D"/>
    <w:rsid w:val="00175EDC"/>
    <w:rsid w:val="001761C2"/>
    <w:rsid w:val="00180D5E"/>
    <w:rsid w:val="00181F14"/>
    <w:rsid w:val="0018208C"/>
    <w:rsid w:val="001824F6"/>
    <w:rsid w:val="001920AE"/>
    <w:rsid w:val="0019242E"/>
    <w:rsid w:val="001947BE"/>
    <w:rsid w:val="00197D62"/>
    <w:rsid w:val="001A1871"/>
    <w:rsid w:val="001A1CC6"/>
    <w:rsid w:val="001A39A9"/>
    <w:rsid w:val="001A44FE"/>
    <w:rsid w:val="001A5043"/>
    <w:rsid w:val="001B1191"/>
    <w:rsid w:val="001B723E"/>
    <w:rsid w:val="001B7710"/>
    <w:rsid w:val="001C2A4B"/>
    <w:rsid w:val="001D44AE"/>
    <w:rsid w:val="001D582B"/>
    <w:rsid w:val="001D664A"/>
    <w:rsid w:val="001E16A7"/>
    <w:rsid w:val="001E17B5"/>
    <w:rsid w:val="001E1E43"/>
    <w:rsid w:val="001F5A2F"/>
    <w:rsid w:val="001F5E6C"/>
    <w:rsid w:val="00202745"/>
    <w:rsid w:val="00210B66"/>
    <w:rsid w:val="00214410"/>
    <w:rsid w:val="002208B7"/>
    <w:rsid w:val="002253B4"/>
    <w:rsid w:val="00226EC9"/>
    <w:rsid w:val="00247CF5"/>
    <w:rsid w:val="0025048A"/>
    <w:rsid w:val="00250FBA"/>
    <w:rsid w:val="00252913"/>
    <w:rsid w:val="00252B6A"/>
    <w:rsid w:val="00256B91"/>
    <w:rsid w:val="00257786"/>
    <w:rsid w:val="002622A5"/>
    <w:rsid w:val="00263C3B"/>
    <w:rsid w:val="00263F37"/>
    <w:rsid w:val="00265C2F"/>
    <w:rsid w:val="002717F7"/>
    <w:rsid w:val="00272102"/>
    <w:rsid w:val="00273A03"/>
    <w:rsid w:val="002974B9"/>
    <w:rsid w:val="002A5733"/>
    <w:rsid w:val="002B55CF"/>
    <w:rsid w:val="002C1955"/>
    <w:rsid w:val="002C4EB5"/>
    <w:rsid w:val="002C71A9"/>
    <w:rsid w:val="002D1C9E"/>
    <w:rsid w:val="002D2376"/>
    <w:rsid w:val="002D6E39"/>
    <w:rsid w:val="002D798E"/>
    <w:rsid w:val="002D7BF2"/>
    <w:rsid w:val="002E30FB"/>
    <w:rsid w:val="002E4DF7"/>
    <w:rsid w:val="002E5515"/>
    <w:rsid w:val="002F051E"/>
    <w:rsid w:val="00302C7F"/>
    <w:rsid w:val="00316D55"/>
    <w:rsid w:val="003201F4"/>
    <w:rsid w:val="00326A08"/>
    <w:rsid w:val="003307FF"/>
    <w:rsid w:val="00334E01"/>
    <w:rsid w:val="00337D40"/>
    <w:rsid w:val="0034363F"/>
    <w:rsid w:val="00344FAB"/>
    <w:rsid w:val="003519F5"/>
    <w:rsid w:val="00372377"/>
    <w:rsid w:val="003737DB"/>
    <w:rsid w:val="003758C0"/>
    <w:rsid w:val="00376AE7"/>
    <w:rsid w:val="00387261"/>
    <w:rsid w:val="00396C9D"/>
    <w:rsid w:val="00397A80"/>
    <w:rsid w:val="003A19A9"/>
    <w:rsid w:val="003A4828"/>
    <w:rsid w:val="003A56D7"/>
    <w:rsid w:val="003A6A5F"/>
    <w:rsid w:val="003B050E"/>
    <w:rsid w:val="003C4053"/>
    <w:rsid w:val="003C5AB0"/>
    <w:rsid w:val="003C70CA"/>
    <w:rsid w:val="003E0602"/>
    <w:rsid w:val="003E1894"/>
    <w:rsid w:val="003E2D77"/>
    <w:rsid w:val="00403BA5"/>
    <w:rsid w:val="004104AF"/>
    <w:rsid w:val="00410C2C"/>
    <w:rsid w:val="00413876"/>
    <w:rsid w:val="004236E6"/>
    <w:rsid w:val="00426A96"/>
    <w:rsid w:val="00431207"/>
    <w:rsid w:val="00432E9D"/>
    <w:rsid w:val="00451665"/>
    <w:rsid w:val="004526DF"/>
    <w:rsid w:val="00455B5B"/>
    <w:rsid w:val="00455FD4"/>
    <w:rsid w:val="0045766D"/>
    <w:rsid w:val="00462EB3"/>
    <w:rsid w:val="00466AF3"/>
    <w:rsid w:val="00472AD8"/>
    <w:rsid w:val="00474807"/>
    <w:rsid w:val="004754C5"/>
    <w:rsid w:val="00487FF2"/>
    <w:rsid w:val="004B0150"/>
    <w:rsid w:val="004C3C4D"/>
    <w:rsid w:val="004C57B5"/>
    <w:rsid w:val="004C7168"/>
    <w:rsid w:val="004D55E0"/>
    <w:rsid w:val="004D568D"/>
    <w:rsid w:val="004F1467"/>
    <w:rsid w:val="004F1F14"/>
    <w:rsid w:val="004F2E6B"/>
    <w:rsid w:val="004F6A3A"/>
    <w:rsid w:val="004F7315"/>
    <w:rsid w:val="0050191C"/>
    <w:rsid w:val="00501BD5"/>
    <w:rsid w:val="00506637"/>
    <w:rsid w:val="0050758A"/>
    <w:rsid w:val="0052081B"/>
    <w:rsid w:val="0052269B"/>
    <w:rsid w:val="00525A3F"/>
    <w:rsid w:val="005410D7"/>
    <w:rsid w:val="0054154B"/>
    <w:rsid w:val="00541D46"/>
    <w:rsid w:val="005436F7"/>
    <w:rsid w:val="00544814"/>
    <w:rsid w:val="005466D9"/>
    <w:rsid w:val="005571F1"/>
    <w:rsid w:val="0056034C"/>
    <w:rsid w:val="00565AB2"/>
    <w:rsid w:val="00565C42"/>
    <w:rsid w:val="00574E39"/>
    <w:rsid w:val="005853D5"/>
    <w:rsid w:val="00586A8D"/>
    <w:rsid w:val="00586DD5"/>
    <w:rsid w:val="00590371"/>
    <w:rsid w:val="005941DC"/>
    <w:rsid w:val="005A2A33"/>
    <w:rsid w:val="005B0415"/>
    <w:rsid w:val="005B3DDA"/>
    <w:rsid w:val="005B55C1"/>
    <w:rsid w:val="005D0544"/>
    <w:rsid w:val="005D199D"/>
    <w:rsid w:val="005D1C48"/>
    <w:rsid w:val="005D24DE"/>
    <w:rsid w:val="005D5248"/>
    <w:rsid w:val="005D59A8"/>
    <w:rsid w:val="005E60C3"/>
    <w:rsid w:val="00620D56"/>
    <w:rsid w:val="006215AD"/>
    <w:rsid w:val="00631256"/>
    <w:rsid w:val="00643E13"/>
    <w:rsid w:val="00647B19"/>
    <w:rsid w:val="00655538"/>
    <w:rsid w:val="0065575D"/>
    <w:rsid w:val="00656367"/>
    <w:rsid w:val="006567F8"/>
    <w:rsid w:val="00656E3F"/>
    <w:rsid w:val="006604C6"/>
    <w:rsid w:val="0066541D"/>
    <w:rsid w:val="0066656C"/>
    <w:rsid w:val="006768E7"/>
    <w:rsid w:val="00687AF0"/>
    <w:rsid w:val="006915BE"/>
    <w:rsid w:val="006A7638"/>
    <w:rsid w:val="006C0098"/>
    <w:rsid w:val="006C062C"/>
    <w:rsid w:val="006C1ABC"/>
    <w:rsid w:val="006C42F5"/>
    <w:rsid w:val="006D058F"/>
    <w:rsid w:val="006D369C"/>
    <w:rsid w:val="006D7972"/>
    <w:rsid w:val="006E035C"/>
    <w:rsid w:val="006E05C9"/>
    <w:rsid w:val="006E5BC3"/>
    <w:rsid w:val="006E7E23"/>
    <w:rsid w:val="006F1CDA"/>
    <w:rsid w:val="00707B25"/>
    <w:rsid w:val="00717754"/>
    <w:rsid w:val="00726125"/>
    <w:rsid w:val="00732F7F"/>
    <w:rsid w:val="00734F0D"/>
    <w:rsid w:val="00744071"/>
    <w:rsid w:val="00752F4A"/>
    <w:rsid w:val="0075509E"/>
    <w:rsid w:val="007641CD"/>
    <w:rsid w:val="00772F1C"/>
    <w:rsid w:val="0077507D"/>
    <w:rsid w:val="0079047F"/>
    <w:rsid w:val="007912C6"/>
    <w:rsid w:val="0079389D"/>
    <w:rsid w:val="007A5BBD"/>
    <w:rsid w:val="007A6643"/>
    <w:rsid w:val="007B1AA9"/>
    <w:rsid w:val="007B4E25"/>
    <w:rsid w:val="007C41F7"/>
    <w:rsid w:val="007D18F9"/>
    <w:rsid w:val="007D4F27"/>
    <w:rsid w:val="007D702A"/>
    <w:rsid w:val="007E36B2"/>
    <w:rsid w:val="007E6011"/>
    <w:rsid w:val="007F0B66"/>
    <w:rsid w:val="00800409"/>
    <w:rsid w:val="00803E9D"/>
    <w:rsid w:val="0080691A"/>
    <w:rsid w:val="0081571D"/>
    <w:rsid w:val="008254EC"/>
    <w:rsid w:val="0083148C"/>
    <w:rsid w:val="00833931"/>
    <w:rsid w:val="00835E78"/>
    <w:rsid w:val="008466C1"/>
    <w:rsid w:val="0085119E"/>
    <w:rsid w:val="00857770"/>
    <w:rsid w:val="008646BC"/>
    <w:rsid w:val="0086746D"/>
    <w:rsid w:val="00881CF9"/>
    <w:rsid w:val="00885ED2"/>
    <w:rsid w:val="008925D1"/>
    <w:rsid w:val="00895CF5"/>
    <w:rsid w:val="008A3B9A"/>
    <w:rsid w:val="008A6EC2"/>
    <w:rsid w:val="008B15F1"/>
    <w:rsid w:val="008B7802"/>
    <w:rsid w:val="008C17F5"/>
    <w:rsid w:val="008C7A05"/>
    <w:rsid w:val="008D168C"/>
    <w:rsid w:val="008D53C2"/>
    <w:rsid w:val="008E3144"/>
    <w:rsid w:val="008F4536"/>
    <w:rsid w:val="008F4A91"/>
    <w:rsid w:val="008F5158"/>
    <w:rsid w:val="00902082"/>
    <w:rsid w:val="0090376D"/>
    <w:rsid w:val="00910597"/>
    <w:rsid w:val="00912860"/>
    <w:rsid w:val="00912F25"/>
    <w:rsid w:val="00913B7D"/>
    <w:rsid w:val="00922500"/>
    <w:rsid w:val="00924FA1"/>
    <w:rsid w:val="00931362"/>
    <w:rsid w:val="00934CA0"/>
    <w:rsid w:val="009354EC"/>
    <w:rsid w:val="00935A87"/>
    <w:rsid w:val="009536D0"/>
    <w:rsid w:val="00956EA8"/>
    <w:rsid w:val="0095710A"/>
    <w:rsid w:val="00961D7E"/>
    <w:rsid w:val="00970910"/>
    <w:rsid w:val="00972C5E"/>
    <w:rsid w:val="009743F1"/>
    <w:rsid w:val="009823F0"/>
    <w:rsid w:val="009862A3"/>
    <w:rsid w:val="009940C5"/>
    <w:rsid w:val="00995210"/>
    <w:rsid w:val="00995797"/>
    <w:rsid w:val="009A19E8"/>
    <w:rsid w:val="009A2694"/>
    <w:rsid w:val="009A5B91"/>
    <w:rsid w:val="009A7113"/>
    <w:rsid w:val="009B27D3"/>
    <w:rsid w:val="009B4B17"/>
    <w:rsid w:val="009C0C59"/>
    <w:rsid w:val="009C1C63"/>
    <w:rsid w:val="009D5DED"/>
    <w:rsid w:val="009E2BFE"/>
    <w:rsid w:val="009E767A"/>
    <w:rsid w:val="009E7BCB"/>
    <w:rsid w:val="00A0005B"/>
    <w:rsid w:val="00A0427D"/>
    <w:rsid w:val="00A1241B"/>
    <w:rsid w:val="00A177AB"/>
    <w:rsid w:val="00A17C92"/>
    <w:rsid w:val="00A23D38"/>
    <w:rsid w:val="00A24195"/>
    <w:rsid w:val="00A34F23"/>
    <w:rsid w:val="00A4073E"/>
    <w:rsid w:val="00A44346"/>
    <w:rsid w:val="00A54CC9"/>
    <w:rsid w:val="00A60464"/>
    <w:rsid w:val="00A70D31"/>
    <w:rsid w:val="00A732F5"/>
    <w:rsid w:val="00A75FBE"/>
    <w:rsid w:val="00A838F1"/>
    <w:rsid w:val="00A83C02"/>
    <w:rsid w:val="00A842C0"/>
    <w:rsid w:val="00A8686C"/>
    <w:rsid w:val="00A90DC2"/>
    <w:rsid w:val="00A97EC5"/>
    <w:rsid w:val="00AA31CB"/>
    <w:rsid w:val="00AA6DEE"/>
    <w:rsid w:val="00AB0F33"/>
    <w:rsid w:val="00AB2A9E"/>
    <w:rsid w:val="00AB4927"/>
    <w:rsid w:val="00AC704D"/>
    <w:rsid w:val="00AD38C6"/>
    <w:rsid w:val="00AE7E21"/>
    <w:rsid w:val="00AF13B9"/>
    <w:rsid w:val="00AF14EF"/>
    <w:rsid w:val="00B00CEB"/>
    <w:rsid w:val="00B039AD"/>
    <w:rsid w:val="00B05CF0"/>
    <w:rsid w:val="00B074EE"/>
    <w:rsid w:val="00B17519"/>
    <w:rsid w:val="00B178FA"/>
    <w:rsid w:val="00B23C5B"/>
    <w:rsid w:val="00B266AA"/>
    <w:rsid w:val="00B31041"/>
    <w:rsid w:val="00B341E4"/>
    <w:rsid w:val="00B5041F"/>
    <w:rsid w:val="00B5153C"/>
    <w:rsid w:val="00B542C8"/>
    <w:rsid w:val="00B55D87"/>
    <w:rsid w:val="00B606F2"/>
    <w:rsid w:val="00B63949"/>
    <w:rsid w:val="00B7197F"/>
    <w:rsid w:val="00B763FA"/>
    <w:rsid w:val="00B7683B"/>
    <w:rsid w:val="00B90E59"/>
    <w:rsid w:val="00BA1132"/>
    <w:rsid w:val="00BA3717"/>
    <w:rsid w:val="00BA47EB"/>
    <w:rsid w:val="00BA4F95"/>
    <w:rsid w:val="00BA6469"/>
    <w:rsid w:val="00BB0592"/>
    <w:rsid w:val="00BB0882"/>
    <w:rsid w:val="00BC144C"/>
    <w:rsid w:val="00BD4B1B"/>
    <w:rsid w:val="00BE2665"/>
    <w:rsid w:val="00BE4394"/>
    <w:rsid w:val="00BE55D0"/>
    <w:rsid w:val="00BF4B68"/>
    <w:rsid w:val="00BF53F3"/>
    <w:rsid w:val="00C01EDD"/>
    <w:rsid w:val="00C01FB2"/>
    <w:rsid w:val="00C07F0D"/>
    <w:rsid w:val="00C1486C"/>
    <w:rsid w:val="00C256C0"/>
    <w:rsid w:val="00C358A0"/>
    <w:rsid w:val="00C405F6"/>
    <w:rsid w:val="00C46C7C"/>
    <w:rsid w:val="00C50748"/>
    <w:rsid w:val="00C509EA"/>
    <w:rsid w:val="00C540F4"/>
    <w:rsid w:val="00C54217"/>
    <w:rsid w:val="00C56D17"/>
    <w:rsid w:val="00C60FE6"/>
    <w:rsid w:val="00C77462"/>
    <w:rsid w:val="00C80DDB"/>
    <w:rsid w:val="00C812E1"/>
    <w:rsid w:val="00C813AB"/>
    <w:rsid w:val="00C843CB"/>
    <w:rsid w:val="00C9095F"/>
    <w:rsid w:val="00C951B7"/>
    <w:rsid w:val="00C959F0"/>
    <w:rsid w:val="00C9749A"/>
    <w:rsid w:val="00C97C3B"/>
    <w:rsid w:val="00CA2E92"/>
    <w:rsid w:val="00CB6D23"/>
    <w:rsid w:val="00CC0208"/>
    <w:rsid w:val="00CC2D5B"/>
    <w:rsid w:val="00CD0ED2"/>
    <w:rsid w:val="00CD3D2F"/>
    <w:rsid w:val="00CD562E"/>
    <w:rsid w:val="00CD70E5"/>
    <w:rsid w:val="00CE21B2"/>
    <w:rsid w:val="00CE5A79"/>
    <w:rsid w:val="00CF4645"/>
    <w:rsid w:val="00D01625"/>
    <w:rsid w:val="00D052BE"/>
    <w:rsid w:val="00D07FF8"/>
    <w:rsid w:val="00D14BCC"/>
    <w:rsid w:val="00D26695"/>
    <w:rsid w:val="00D53C1B"/>
    <w:rsid w:val="00D5464D"/>
    <w:rsid w:val="00D57325"/>
    <w:rsid w:val="00D7231B"/>
    <w:rsid w:val="00D7568A"/>
    <w:rsid w:val="00D76583"/>
    <w:rsid w:val="00D80364"/>
    <w:rsid w:val="00D83E9C"/>
    <w:rsid w:val="00D85BCC"/>
    <w:rsid w:val="00D87CA9"/>
    <w:rsid w:val="00D91879"/>
    <w:rsid w:val="00D92A3B"/>
    <w:rsid w:val="00D93051"/>
    <w:rsid w:val="00D94C87"/>
    <w:rsid w:val="00D952B2"/>
    <w:rsid w:val="00D961E6"/>
    <w:rsid w:val="00DA05ED"/>
    <w:rsid w:val="00DA7262"/>
    <w:rsid w:val="00DB36F6"/>
    <w:rsid w:val="00DB6D04"/>
    <w:rsid w:val="00DC08F8"/>
    <w:rsid w:val="00DC54F0"/>
    <w:rsid w:val="00DC56CF"/>
    <w:rsid w:val="00DD01C5"/>
    <w:rsid w:val="00DE0D56"/>
    <w:rsid w:val="00DE549D"/>
    <w:rsid w:val="00DF30A8"/>
    <w:rsid w:val="00DF70C0"/>
    <w:rsid w:val="00E05DB4"/>
    <w:rsid w:val="00E06218"/>
    <w:rsid w:val="00E114BB"/>
    <w:rsid w:val="00E13DA1"/>
    <w:rsid w:val="00E153E9"/>
    <w:rsid w:val="00E17088"/>
    <w:rsid w:val="00E226D9"/>
    <w:rsid w:val="00E2566B"/>
    <w:rsid w:val="00E30BF6"/>
    <w:rsid w:val="00E45417"/>
    <w:rsid w:val="00E51E50"/>
    <w:rsid w:val="00E57D5D"/>
    <w:rsid w:val="00E602BD"/>
    <w:rsid w:val="00E64ADB"/>
    <w:rsid w:val="00E64C74"/>
    <w:rsid w:val="00E65839"/>
    <w:rsid w:val="00E813AD"/>
    <w:rsid w:val="00E875DF"/>
    <w:rsid w:val="00E90279"/>
    <w:rsid w:val="00EC356B"/>
    <w:rsid w:val="00EC4B42"/>
    <w:rsid w:val="00ED0566"/>
    <w:rsid w:val="00EE078D"/>
    <w:rsid w:val="00EE3891"/>
    <w:rsid w:val="00EE546D"/>
    <w:rsid w:val="00EE6261"/>
    <w:rsid w:val="00EF001A"/>
    <w:rsid w:val="00EF0E5A"/>
    <w:rsid w:val="00EF230B"/>
    <w:rsid w:val="00EF35FA"/>
    <w:rsid w:val="00EF63BD"/>
    <w:rsid w:val="00F1335B"/>
    <w:rsid w:val="00F26913"/>
    <w:rsid w:val="00F27D7F"/>
    <w:rsid w:val="00F320D0"/>
    <w:rsid w:val="00F32123"/>
    <w:rsid w:val="00F47098"/>
    <w:rsid w:val="00F47A41"/>
    <w:rsid w:val="00F52A63"/>
    <w:rsid w:val="00F71DD6"/>
    <w:rsid w:val="00F725BD"/>
    <w:rsid w:val="00F8133C"/>
    <w:rsid w:val="00F86926"/>
    <w:rsid w:val="00F92355"/>
    <w:rsid w:val="00FA062E"/>
    <w:rsid w:val="00FA60E1"/>
    <w:rsid w:val="00FB013D"/>
    <w:rsid w:val="00FB0EBC"/>
    <w:rsid w:val="00FB521A"/>
    <w:rsid w:val="00FB57E7"/>
    <w:rsid w:val="00FC3291"/>
    <w:rsid w:val="00FD08EE"/>
    <w:rsid w:val="00FD3F3B"/>
    <w:rsid w:val="00FD65D2"/>
    <w:rsid w:val="00FF0C20"/>
    <w:rsid w:val="00FF10D3"/>
    <w:rsid w:val="00FF43C9"/>
    <w:rsid w:val="00FF5AD1"/>
    <w:rsid w:val="00FF7584"/>
    <w:rsid w:val="015A278C"/>
    <w:rsid w:val="01841AD9"/>
    <w:rsid w:val="01F42225"/>
    <w:rsid w:val="035D41B7"/>
    <w:rsid w:val="06380C2D"/>
    <w:rsid w:val="065546FA"/>
    <w:rsid w:val="065B0DB4"/>
    <w:rsid w:val="07FA6993"/>
    <w:rsid w:val="09784E53"/>
    <w:rsid w:val="0AE16324"/>
    <w:rsid w:val="0B0E051C"/>
    <w:rsid w:val="0B733CF6"/>
    <w:rsid w:val="0BC25540"/>
    <w:rsid w:val="0DAC1ABD"/>
    <w:rsid w:val="0EF3685E"/>
    <w:rsid w:val="0F586E52"/>
    <w:rsid w:val="1052374C"/>
    <w:rsid w:val="10EF1D90"/>
    <w:rsid w:val="1173042C"/>
    <w:rsid w:val="12503FC7"/>
    <w:rsid w:val="126604E0"/>
    <w:rsid w:val="133E0542"/>
    <w:rsid w:val="13496AD0"/>
    <w:rsid w:val="1606331B"/>
    <w:rsid w:val="1617568F"/>
    <w:rsid w:val="170840C9"/>
    <w:rsid w:val="17CC542D"/>
    <w:rsid w:val="18D71869"/>
    <w:rsid w:val="19033E95"/>
    <w:rsid w:val="1B824AF9"/>
    <w:rsid w:val="1BAE5FB6"/>
    <w:rsid w:val="1BD05EE4"/>
    <w:rsid w:val="1C485FCA"/>
    <w:rsid w:val="1C676ADD"/>
    <w:rsid w:val="1C9603CC"/>
    <w:rsid w:val="1E465D52"/>
    <w:rsid w:val="20980DD7"/>
    <w:rsid w:val="209E1BD1"/>
    <w:rsid w:val="20A06FFF"/>
    <w:rsid w:val="20D1684E"/>
    <w:rsid w:val="213A2E9A"/>
    <w:rsid w:val="21BE1799"/>
    <w:rsid w:val="22B71EAB"/>
    <w:rsid w:val="24FD1246"/>
    <w:rsid w:val="26317C2E"/>
    <w:rsid w:val="27036E0A"/>
    <w:rsid w:val="2A0C2A72"/>
    <w:rsid w:val="2A461F39"/>
    <w:rsid w:val="2E133D9A"/>
    <w:rsid w:val="2F7D7D2F"/>
    <w:rsid w:val="311F752F"/>
    <w:rsid w:val="321C0C74"/>
    <w:rsid w:val="33B006D5"/>
    <w:rsid w:val="34AD7C43"/>
    <w:rsid w:val="36445017"/>
    <w:rsid w:val="36F30723"/>
    <w:rsid w:val="391207AE"/>
    <w:rsid w:val="392C3965"/>
    <w:rsid w:val="3AF17846"/>
    <w:rsid w:val="3B062CE4"/>
    <w:rsid w:val="3B471872"/>
    <w:rsid w:val="3BA11C66"/>
    <w:rsid w:val="3C770EB3"/>
    <w:rsid w:val="3D0F315F"/>
    <w:rsid w:val="3D5F2A23"/>
    <w:rsid w:val="3E6A5786"/>
    <w:rsid w:val="3EB57BCB"/>
    <w:rsid w:val="3F161D6E"/>
    <w:rsid w:val="3F285F96"/>
    <w:rsid w:val="411A5BC1"/>
    <w:rsid w:val="41840B99"/>
    <w:rsid w:val="419F5DB5"/>
    <w:rsid w:val="41AA4870"/>
    <w:rsid w:val="43BB72E2"/>
    <w:rsid w:val="43F67429"/>
    <w:rsid w:val="441B32B1"/>
    <w:rsid w:val="44844C23"/>
    <w:rsid w:val="44EA4526"/>
    <w:rsid w:val="477E6CD0"/>
    <w:rsid w:val="47E43FFE"/>
    <w:rsid w:val="48175A4C"/>
    <w:rsid w:val="482D2B1B"/>
    <w:rsid w:val="493C6A78"/>
    <w:rsid w:val="4AA71836"/>
    <w:rsid w:val="4BE04E6C"/>
    <w:rsid w:val="4D382393"/>
    <w:rsid w:val="51DA5E53"/>
    <w:rsid w:val="523C5982"/>
    <w:rsid w:val="5256137D"/>
    <w:rsid w:val="52804889"/>
    <w:rsid w:val="533E6734"/>
    <w:rsid w:val="54C22117"/>
    <w:rsid w:val="56EE666F"/>
    <w:rsid w:val="57417094"/>
    <w:rsid w:val="57BD4A32"/>
    <w:rsid w:val="57CF2865"/>
    <w:rsid w:val="59013D38"/>
    <w:rsid w:val="5A4B1B2F"/>
    <w:rsid w:val="5B1C5E42"/>
    <w:rsid w:val="5CBE4F25"/>
    <w:rsid w:val="5D8B722E"/>
    <w:rsid w:val="5D953FE0"/>
    <w:rsid w:val="5E9A15CE"/>
    <w:rsid w:val="5FA559DA"/>
    <w:rsid w:val="5FDB2E14"/>
    <w:rsid w:val="606721D5"/>
    <w:rsid w:val="60A61921"/>
    <w:rsid w:val="611721D5"/>
    <w:rsid w:val="625E0A5E"/>
    <w:rsid w:val="62614F86"/>
    <w:rsid w:val="64DB03E4"/>
    <w:rsid w:val="654204C3"/>
    <w:rsid w:val="65DF45BB"/>
    <w:rsid w:val="660F53AE"/>
    <w:rsid w:val="668F7D8F"/>
    <w:rsid w:val="66DD25FD"/>
    <w:rsid w:val="67C7632F"/>
    <w:rsid w:val="680C4F78"/>
    <w:rsid w:val="697F5E1B"/>
    <w:rsid w:val="6981105B"/>
    <w:rsid w:val="6D182CDF"/>
    <w:rsid w:val="70F974A3"/>
    <w:rsid w:val="72B96C74"/>
    <w:rsid w:val="73E3171A"/>
    <w:rsid w:val="74E50F8A"/>
    <w:rsid w:val="753B103F"/>
    <w:rsid w:val="754C6CA4"/>
    <w:rsid w:val="758A5270"/>
    <w:rsid w:val="758D3AD9"/>
    <w:rsid w:val="76124C3A"/>
    <w:rsid w:val="767443E1"/>
    <w:rsid w:val="76845EAC"/>
    <w:rsid w:val="7BA80408"/>
    <w:rsid w:val="7C747128"/>
    <w:rsid w:val="7DEA02BE"/>
    <w:rsid w:val="7E206F3B"/>
    <w:rsid w:val="7F01246C"/>
    <w:rsid w:val="7F791E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F8D8B1-F29E-4834-881F-D45D54D6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jc w:val="left"/>
    </w:pPr>
    <w:rPr>
      <w:rFonts w:ascii="Calibri" w:eastAsia="宋体" w:hAnsi="Calibri" w:cs="Times New Roman"/>
      <w:kern w:val="0"/>
      <w:sz w:val="24"/>
      <w:szCs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8">
    <w:name w:val="List Paragraph"/>
    <w:basedOn w:val="a"/>
    <w:uiPriority w:val="34"/>
    <w:qFormat/>
    <w:pPr>
      <w:widowControl/>
      <w:ind w:firstLineChars="200" w:firstLine="420"/>
      <w:jc w:val="left"/>
    </w:pPr>
    <w:rPr>
      <w:rFonts w:ascii="宋体" w:eastAsia="宋体" w:hAnsi="宋体" w:cs="宋体"/>
      <w:kern w:val="0"/>
      <w:sz w:val="24"/>
      <w:szCs w:val="24"/>
    </w:rPr>
  </w:style>
  <w:style w:type="paragraph" w:customStyle="1" w:styleId="p1">
    <w:name w:val="p1"/>
    <w:basedOn w:val="a"/>
    <w:rsid w:val="00E226D9"/>
    <w:pPr>
      <w:jc w:val="left"/>
    </w:pPr>
    <w:rPr>
      <w:rFonts w:ascii="pingfang sc" w:eastAsia="pingfang sc" w:hAnsi="pingfang sc" w:cs="Times New Roman"/>
      <w:color w:val="000000"/>
      <w:kern w:val="0"/>
      <w:sz w:val="22"/>
    </w:rPr>
  </w:style>
  <w:style w:type="character" w:customStyle="1" w:styleId="s1">
    <w:name w:val="s1"/>
    <w:basedOn w:val="a0"/>
    <w:rsid w:val="00E226D9"/>
    <w:rPr>
      <w:rFonts w:ascii="Helvetica Neue" w:eastAsia="Helvetica Neue" w:hAnsi="Helvetica Neue" w:cs="Helvetica Neue"/>
      <w:sz w:val="22"/>
      <w:szCs w:val="22"/>
    </w:rPr>
  </w:style>
  <w:style w:type="table" w:customStyle="1" w:styleId="11">
    <w:name w:val="网格型1"/>
    <w:basedOn w:val="a1"/>
    <w:next w:val="a7"/>
    <w:uiPriority w:val="39"/>
    <w:qFormat/>
    <w:rsid w:val="00BE5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243</Words>
  <Characters>1388</Characters>
  <Application>Microsoft Office Word</Application>
  <DocSecurity>0</DocSecurity>
  <Lines>11</Lines>
  <Paragraphs>3</Paragraphs>
  <ScaleCrop>false</ScaleCrop>
  <Company>tj.com</Company>
  <LinksUpToDate>false</LinksUpToDate>
  <CharactersWithSpaces>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林巧</dc:creator>
  <cp:lastModifiedBy>赵鑫</cp:lastModifiedBy>
  <cp:revision>3</cp:revision>
  <cp:lastPrinted>2024-11-05T06:58:00Z</cp:lastPrinted>
  <dcterms:created xsi:type="dcterms:W3CDTF">2024-11-05T06:58:00Z</dcterms:created>
  <dcterms:modified xsi:type="dcterms:W3CDTF">2024-11-05T09:19:00Z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E9CD4925F46E40BEB6D9D5D306452FF3</vt:lpwstr>
  </property>
</Properties>
</file>