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EA48" w14:textId="77777777" w:rsidR="006414D9" w:rsidRDefault="00381C38">
      <w:pPr>
        <w:pStyle w:val="a5"/>
        <w:tabs>
          <w:tab w:val="left" w:pos="5721"/>
        </w:tabs>
        <w:spacing w:before="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证券代码</w:t>
      </w:r>
      <w:r>
        <w:rPr>
          <w:rFonts w:ascii="微软雅黑" w:eastAsia="微软雅黑" w:hAnsi="微软雅黑"/>
          <w:spacing w:val="-3"/>
        </w:rPr>
        <w:t>：600221</w:t>
      </w:r>
      <w:r>
        <w:rPr>
          <w:rFonts w:ascii="微软雅黑" w:eastAsia="微软雅黑" w:hAnsi="微软雅黑" w:hint="eastAsia"/>
          <w:spacing w:val="-3"/>
        </w:rPr>
        <w:t>、9</w:t>
      </w:r>
      <w:r>
        <w:rPr>
          <w:rFonts w:ascii="微软雅黑" w:eastAsia="微软雅黑" w:hAnsi="微软雅黑"/>
          <w:spacing w:val="-3"/>
        </w:rPr>
        <w:t xml:space="preserve">00945                         </w:t>
      </w:r>
      <w:r>
        <w:rPr>
          <w:rFonts w:ascii="微软雅黑" w:eastAsia="微软雅黑" w:hAnsi="微软雅黑" w:hint="eastAsia"/>
          <w:spacing w:val="-3"/>
          <w:lang w:val="en-US"/>
        </w:rPr>
        <w:t xml:space="preserve">    </w:t>
      </w:r>
      <w:r>
        <w:rPr>
          <w:rFonts w:ascii="微软雅黑" w:eastAsia="微软雅黑" w:hAnsi="微软雅黑"/>
          <w:spacing w:val="-3"/>
        </w:rPr>
        <w:t xml:space="preserve">   </w:t>
      </w:r>
      <w:r>
        <w:rPr>
          <w:rFonts w:ascii="微软雅黑" w:eastAsia="微软雅黑" w:hAnsi="微软雅黑"/>
        </w:rPr>
        <w:t>证券</w:t>
      </w:r>
      <w:r>
        <w:rPr>
          <w:rFonts w:ascii="微软雅黑" w:eastAsia="微软雅黑" w:hAnsi="微软雅黑"/>
          <w:spacing w:val="-5"/>
        </w:rPr>
        <w:t>简</w:t>
      </w:r>
      <w:r>
        <w:rPr>
          <w:rFonts w:ascii="微软雅黑" w:eastAsia="微软雅黑" w:hAnsi="微软雅黑"/>
        </w:rPr>
        <w:t>称：</w:t>
      </w:r>
      <w:r>
        <w:rPr>
          <w:rFonts w:ascii="微软雅黑" w:eastAsia="微软雅黑" w:hAnsi="微软雅黑" w:hint="eastAsia"/>
        </w:rPr>
        <w:t>海航</w:t>
      </w:r>
      <w:r w:rsidR="00AA04E8">
        <w:rPr>
          <w:rFonts w:ascii="微软雅黑" w:eastAsia="微软雅黑" w:hAnsi="微软雅黑" w:hint="eastAsia"/>
        </w:rPr>
        <w:t>控股</w:t>
      </w:r>
      <w:r>
        <w:rPr>
          <w:rFonts w:ascii="微软雅黑" w:eastAsia="微软雅黑" w:hAnsi="微软雅黑" w:hint="eastAsia"/>
        </w:rPr>
        <w:t>、</w:t>
      </w:r>
      <w:proofErr w:type="gramStart"/>
      <w:r w:rsidR="00AA04E8">
        <w:rPr>
          <w:rFonts w:ascii="微软雅黑" w:eastAsia="微软雅黑" w:hAnsi="微软雅黑" w:hint="eastAsia"/>
        </w:rPr>
        <w:t>海控</w:t>
      </w:r>
      <w:proofErr w:type="gramEnd"/>
      <w:r>
        <w:rPr>
          <w:rFonts w:ascii="微软雅黑" w:eastAsia="微软雅黑" w:hAnsi="微软雅黑" w:hint="eastAsia"/>
        </w:rPr>
        <w:t>B</w:t>
      </w:r>
      <w:r w:rsidR="00AA04E8">
        <w:rPr>
          <w:rFonts w:ascii="微软雅黑" w:eastAsia="微软雅黑" w:hAnsi="微软雅黑" w:hint="eastAsia"/>
        </w:rPr>
        <w:t>股</w:t>
      </w:r>
    </w:p>
    <w:p w14:paraId="16AACE29" w14:textId="77777777" w:rsidR="006414D9" w:rsidRDefault="00381C38">
      <w:pPr>
        <w:spacing w:before="178"/>
        <w:jc w:val="center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海南航空控股股份有限公司投资者关系活动记录表</w:t>
      </w:r>
    </w:p>
    <w:p w14:paraId="31B3B411" w14:textId="31C91020" w:rsidR="006414D9" w:rsidRDefault="00381C38">
      <w:pPr>
        <w:pStyle w:val="a5"/>
        <w:spacing w:after="23"/>
        <w:ind w:right="44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编号：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02</w:t>
      </w:r>
      <w:r w:rsidR="00F677C7">
        <w:rPr>
          <w:rFonts w:ascii="微软雅黑" w:eastAsia="微软雅黑" w:hAnsi="微软雅黑"/>
          <w:lang w:val="en-US"/>
        </w:rPr>
        <w:t>4</w:t>
      </w:r>
      <w:r>
        <w:rPr>
          <w:rFonts w:ascii="微软雅黑" w:eastAsia="微软雅黑" w:hAnsi="微软雅黑"/>
        </w:rPr>
        <w:t>-00</w:t>
      </w:r>
      <w:r w:rsidR="00E53575">
        <w:rPr>
          <w:rFonts w:ascii="微软雅黑" w:eastAsia="微软雅黑" w:hAnsi="微软雅黑" w:hint="eastAsia"/>
        </w:rPr>
        <w:t>6</w:t>
      </w:r>
    </w:p>
    <w:tbl>
      <w:tblPr>
        <w:tblStyle w:val="TableNormal"/>
        <w:tblW w:w="89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62"/>
        <w:gridCol w:w="3374"/>
      </w:tblGrid>
      <w:tr w:rsidR="006414D9" w14:paraId="79F41F8F" w14:textId="77777777">
        <w:trPr>
          <w:trHeight w:val="1560"/>
          <w:jc w:val="center"/>
        </w:trPr>
        <w:tc>
          <w:tcPr>
            <w:tcW w:w="1696" w:type="dxa"/>
            <w:vAlign w:val="center"/>
          </w:tcPr>
          <w:p w14:paraId="560FBA5B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投资者关系</w:t>
            </w:r>
            <w:proofErr w:type="spellEnd"/>
          </w:p>
          <w:p w14:paraId="346D0828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活动类别</w:t>
            </w:r>
            <w:proofErr w:type="spellEnd"/>
          </w:p>
        </w:tc>
        <w:tc>
          <w:tcPr>
            <w:tcW w:w="3862" w:type="dxa"/>
            <w:tcBorders>
              <w:right w:val="nil"/>
            </w:tcBorders>
          </w:tcPr>
          <w:p w14:paraId="55DEAADD" w14:textId="77777777" w:rsidR="006414D9" w:rsidRDefault="00381C38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√特定对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象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调研</w:t>
            </w:r>
          </w:p>
          <w:p w14:paraId="5A4DD34C" w14:textId="77777777" w:rsidR="006414D9" w:rsidRDefault="00381C38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□媒体采访</w:t>
            </w:r>
          </w:p>
          <w:p w14:paraId="76B003D7" w14:textId="77777777" w:rsidR="006414D9" w:rsidRDefault="00381C38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□新闻发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布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会</w:t>
            </w:r>
          </w:p>
          <w:p w14:paraId="59904B43" w14:textId="75948940" w:rsidR="006414D9" w:rsidRDefault="00E53575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</w:t>
            </w:r>
            <w:r w:rsidR="00381C38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现场参观</w:t>
            </w:r>
          </w:p>
          <w:p w14:paraId="0FA4226F" w14:textId="482FC436" w:rsidR="006414D9" w:rsidRDefault="00E53575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</w:t>
            </w:r>
            <w:r w:rsidR="00381C38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其他（现场会议）</w:t>
            </w:r>
          </w:p>
        </w:tc>
        <w:tc>
          <w:tcPr>
            <w:tcW w:w="3374" w:type="dxa"/>
            <w:tcBorders>
              <w:left w:val="nil"/>
            </w:tcBorders>
          </w:tcPr>
          <w:p w14:paraId="26C9AEAE" w14:textId="77777777" w:rsidR="006414D9" w:rsidRDefault="00381C38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析师会议</w:t>
            </w:r>
          </w:p>
          <w:p w14:paraId="223EFF16" w14:textId="54493CE3" w:rsidR="006414D9" w:rsidRDefault="00E53575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√</w:t>
            </w:r>
            <w:r w:rsidR="00381C38"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业</w:t>
            </w:r>
            <w:r w:rsidR="00381C38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绩说明会</w:t>
            </w:r>
          </w:p>
          <w:p w14:paraId="65CCB978" w14:textId="77777777" w:rsidR="006414D9" w:rsidRDefault="00381C38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□</w:t>
            </w:r>
            <w:proofErr w:type="spellStart"/>
            <w:r>
              <w:rPr>
                <w:rFonts w:ascii="微软雅黑" w:eastAsia="微软雅黑" w:hAnsi="微软雅黑"/>
                <w:spacing w:val="-5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演活动</w:t>
            </w:r>
            <w:proofErr w:type="spellEnd"/>
          </w:p>
        </w:tc>
      </w:tr>
      <w:tr w:rsidR="00D72565" w14:paraId="3E7A60DD" w14:textId="77777777" w:rsidTr="00584AE2">
        <w:trPr>
          <w:trHeight w:val="416"/>
          <w:jc w:val="center"/>
        </w:trPr>
        <w:tc>
          <w:tcPr>
            <w:tcW w:w="1696" w:type="dxa"/>
            <w:vAlign w:val="center"/>
          </w:tcPr>
          <w:p w14:paraId="256BB187" w14:textId="77777777" w:rsidR="00D72565" w:rsidRDefault="00D72565" w:rsidP="00D72565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参与单位名称</w:t>
            </w:r>
            <w:proofErr w:type="spellEnd"/>
          </w:p>
        </w:tc>
        <w:tc>
          <w:tcPr>
            <w:tcW w:w="7236" w:type="dxa"/>
            <w:gridSpan w:val="2"/>
          </w:tcPr>
          <w:p w14:paraId="3D5C67B6" w14:textId="77777777" w:rsidR="00D72565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国联证券：曾智星、李蔚、李天琛</w:t>
            </w:r>
          </w:p>
          <w:p w14:paraId="1D037694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广发证券：陈宇</w:t>
            </w:r>
          </w:p>
          <w:p w14:paraId="28E8CDDB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中金公司：郑学建、张骁瀚、邵佳怡、吴其坤</w:t>
            </w:r>
          </w:p>
          <w:p w14:paraId="5B2ACD6B" w14:textId="40ACDFDE" w:rsidR="00D72565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华泰证券：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黄凡洋</w:t>
            </w:r>
            <w:proofErr w:type="gramEnd"/>
          </w:p>
          <w:p w14:paraId="062E05FB" w14:textId="219B3AC8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正圆投资：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戴旅京</w:t>
            </w:r>
            <w:proofErr w:type="gramEnd"/>
          </w:p>
          <w:p w14:paraId="2EA8233C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建信保险资管：杨晨</w:t>
            </w:r>
          </w:p>
          <w:p w14:paraId="035C7F5B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勤辰资产：郑博宏</w:t>
            </w:r>
          </w:p>
          <w:p w14:paraId="0E8E6F46" w14:textId="1B57E5D1" w:rsidR="00D72565" w:rsidRPr="00A852D4" w:rsidRDefault="00D72565" w:rsidP="00A852D4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中银国际证券：王靖添</w:t>
            </w:r>
            <w:r w:rsidR="00A852D4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、</w:t>
            </w:r>
            <w:r w:rsidR="00A852D4"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刘胤泽</w:t>
            </w:r>
          </w:p>
          <w:p w14:paraId="094F802A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淡水泉：刘晓雨</w:t>
            </w:r>
          </w:p>
          <w:p w14:paraId="49F4736B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建信理财：徐鹏展</w:t>
            </w:r>
          </w:p>
          <w:p w14:paraId="41FCB77F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银河证券：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徐都一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、</w:t>
            </w: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罗江南</w:t>
            </w:r>
          </w:p>
          <w:p w14:paraId="171864FF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创金合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信基金：李晗</w:t>
            </w:r>
          </w:p>
          <w:p w14:paraId="1DE746A8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融通基金：陈甲铖</w:t>
            </w:r>
          </w:p>
          <w:p w14:paraId="4C8E6177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中金基金：王佳铭</w:t>
            </w:r>
          </w:p>
          <w:p w14:paraId="0D3DE22F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海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通资管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：张宇清</w:t>
            </w:r>
          </w:p>
          <w:p w14:paraId="1A1AD149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浙商自营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：陈姗姗</w:t>
            </w:r>
          </w:p>
          <w:p w14:paraId="11DB9771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华泰保兴基金：尚烁徽</w:t>
            </w:r>
          </w:p>
          <w:p w14:paraId="304D8D30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南方基金：孙伟仓</w:t>
            </w:r>
          </w:p>
          <w:p w14:paraId="2A2E3AB0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德邦基金：朱慧琳</w:t>
            </w:r>
          </w:p>
          <w:p w14:paraId="4A8E3A05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海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通资管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：张宇清</w:t>
            </w:r>
          </w:p>
          <w:p w14:paraId="4D54A19D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拾贝投资：杨立</w:t>
            </w:r>
          </w:p>
          <w:p w14:paraId="42C8EF08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Hel Ved Capital Management Limited：Daniel Guo</w:t>
            </w:r>
          </w:p>
          <w:p w14:paraId="3186EE6F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国金证券：王凯婕</w:t>
            </w:r>
          </w:p>
          <w:p w14:paraId="2075DAB7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浙商资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管：刘玮奇、舒叶、李育</w:t>
            </w:r>
          </w:p>
          <w:p w14:paraId="64544F68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lastRenderedPageBreak/>
              <w:t>盛宇基金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：朱鹤</w:t>
            </w:r>
          </w:p>
          <w:p w14:paraId="11773A13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泓德基金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：刘运昌、赵东</w:t>
            </w:r>
          </w:p>
          <w:p w14:paraId="25FBB6F5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招商基金：张大印</w:t>
            </w:r>
          </w:p>
          <w:p w14:paraId="44A6967E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和谐汇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资管</w:t>
            </w: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章溢漫</w:t>
            </w:r>
            <w:proofErr w:type="gramEnd"/>
          </w:p>
          <w:p w14:paraId="45E8302C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万家基金：陈佳昀</w:t>
            </w:r>
          </w:p>
          <w:p w14:paraId="778CDE00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合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煦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智远基金：张夺</w:t>
            </w:r>
          </w:p>
          <w:p w14:paraId="722D93EB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富国基金：章泽越</w:t>
            </w:r>
          </w:p>
          <w:p w14:paraId="59908A31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中银理财：王晗</w:t>
            </w:r>
          </w:p>
          <w:p w14:paraId="19126254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Pinpoint Asset Management Limited: Lei Xie</w:t>
            </w:r>
          </w:p>
          <w:p w14:paraId="7152F2E6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Prudence Investment Management (Hong Kong) Limited：张智斌</w:t>
            </w:r>
          </w:p>
          <w:p w14:paraId="163D5F36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合道资产：严斯鸿</w:t>
            </w:r>
          </w:p>
          <w:p w14:paraId="4B7A659F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鹏华基金：陈龙</w:t>
            </w:r>
          </w:p>
          <w:p w14:paraId="319957C9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瓦洛兰投资：毛振</w:t>
            </w:r>
          </w:p>
          <w:p w14:paraId="62C97762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景弘基金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屈科成</w:t>
            </w:r>
            <w:proofErr w:type="gramEnd"/>
          </w:p>
          <w:p w14:paraId="24E1E228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中顺纸业：齐娜</w:t>
            </w:r>
          </w:p>
          <w:p w14:paraId="08ADF1D9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古曲私募基金：赵朕</w:t>
            </w:r>
          </w:p>
          <w:p w14:paraId="1423D918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西部利得基金：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温震宇</w:t>
            </w:r>
            <w:proofErr w:type="gramEnd"/>
          </w:p>
          <w:p w14:paraId="3E4C173B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招商基金：李毅</w:t>
            </w:r>
          </w:p>
          <w:p w14:paraId="0823FE0A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安汇富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私募基金：刘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圳炜</w:t>
            </w:r>
            <w:proofErr w:type="gramEnd"/>
          </w:p>
          <w:p w14:paraId="67D583AC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太平洋资管：袁元</w:t>
            </w:r>
          </w:p>
          <w:p w14:paraId="0529469D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聚鸣资管</w:t>
            </w:r>
            <w:proofErr w:type="gramEnd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：惠博闻</w:t>
            </w:r>
          </w:p>
          <w:p w14:paraId="1B86A272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嘉实基金：汤舒婷</w:t>
            </w:r>
          </w:p>
          <w:p w14:paraId="1712A5BD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东方基金：陈皓</w:t>
            </w:r>
          </w:p>
          <w:p w14:paraId="416D1196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美林(新加坡)私人有限公司：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曾蝶露</w:t>
            </w:r>
            <w:proofErr w:type="gramEnd"/>
          </w:p>
          <w:p w14:paraId="10487DBD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中邮证券：曾凡</w:t>
            </w:r>
            <w:proofErr w:type="gramStart"/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喆</w:t>
            </w:r>
            <w:proofErr w:type="gramEnd"/>
          </w:p>
          <w:p w14:paraId="2074FEDD" w14:textId="77777777" w:rsidR="00D72565" w:rsidRPr="00C0275A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国盛证券：金晶、夏陶</w:t>
            </w:r>
          </w:p>
          <w:p w14:paraId="5F96FD25" w14:textId="1B192216" w:rsidR="00D72565" w:rsidRPr="00E92CB9" w:rsidRDefault="00D72565" w:rsidP="00D72565">
            <w:pPr>
              <w:pStyle w:val="TableParagraph"/>
              <w:spacing w:line="400" w:lineRule="exact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天风</w:t>
            </w:r>
            <w:r w:rsidR="00B0073B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证券</w:t>
            </w:r>
            <w:r w:rsidRPr="00C0275A"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：李宁</w:t>
            </w:r>
          </w:p>
        </w:tc>
      </w:tr>
      <w:tr w:rsidR="006414D9" w14:paraId="32FEB55E" w14:textId="77777777">
        <w:trPr>
          <w:trHeight w:val="412"/>
          <w:jc w:val="center"/>
        </w:trPr>
        <w:tc>
          <w:tcPr>
            <w:tcW w:w="1696" w:type="dxa"/>
            <w:vAlign w:val="center"/>
          </w:tcPr>
          <w:p w14:paraId="77E2D1C1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lastRenderedPageBreak/>
              <w:t>时间</w:t>
            </w:r>
            <w:proofErr w:type="spellEnd"/>
          </w:p>
        </w:tc>
        <w:tc>
          <w:tcPr>
            <w:tcW w:w="7236" w:type="dxa"/>
            <w:gridSpan w:val="2"/>
          </w:tcPr>
          <w:p w14:paraId="5395C04A" w14:textId="6AEC8DF5" w:rsidR="006414D9" w:rsidRDefault="00381C38" w:rsidP="00BF52EC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202</w:t>
            </w:r>
            <w:r w:rsidR="00581D3A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年</w:t>
            </w:r>
            <w:r w:rsidR="00E535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月</w:t>
            </w:r>
            <w:r w:rsidR="00E535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日</w:t>
            </w:r>
          </w:p>
        </w:tc>
      </w:tr>
      <w:tr w:rsidR="006414D9" w14:paraId="702DA3DB" w14:textId="77777777">
        <w:trPr>
          <w:trHeight w:val="354"/>
          <w:jc w:val="center"/>
        </w:trPr>
        <w:tc>
          <w:tcPr>
            <w:tcW w:w="1696" w:type="dxa"/>
            <w:vAlign w:val="center"/>
          </w:tcPr>
          <w:p w14:paraId="7080B2DC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7236" w:type="dxa"/>
            <w:gridSpan w:val="2"/>
          </w:tcPr>
          <w:p w14:paraId="145A885A" w14:textId="3BD326FB" w:rsidR="006414D9" w:rsidRDefault="005943F3" w:rsidP="00BF52EC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电话会议</w:t>
            </w:r>
          </w:p>
        </w:tc>
      </w:tr>
      <w:tr w:rsidR="006414D9" w14:paraId="58AD6B60" w14:textId="77777777">
        <w:trPr>
          <w:trHeight w:val="422"/>
          <w:jc w:val="center"/>
        </w:trPr>
        <w:tc>
          <w:tcPr>
            <w:tcW w:w="1696" w:type="dxa"/>
            <w:vAlign w:val="center"/>
          </w:tcPr>
          <w:p w14:paraId="21F40D7C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上市公司</w:t>
            </w:r>
          </w:p>
          <w:p w14:paraId="2AB60A84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接待人员姓名</w:t>
            </w:r>
          </w:p>
        </w:tc>
        <w:tc>
          <w:tcPr>
            <w:tcW w:w="7236" w:type="dxa"/>
            <w:gridSpan w:val="2"/>
            <w:vAlign w:val="center"/>
          </w:tcPr>
          <w:p w14:paraId="6C8DCDB1" w14:textId="77777777" w:rsidR="003E27DC" w:rsidRDefault="003E27DC" w:rsidP="003E27DC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董事会秘书：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葛兴峰</w:t>
            </w:r>
          </w:p>
          <w:p w14:paraId="55F84F9C" w14:textId="4BF46540" w:rsidR="00544C87" w:rsidRDefault="00544C87" w:rsidP="00544C87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财务总监：陈垚</w:t>
            </w:r>
          </w:p>
          <w:p w14:paraId="72238B8C" w14:textId="6D246D4F" w:rsidR="00F96D8A" w:rsidRDefault="00F96D8A" w:rsidP="00544C87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市场营销委员会副主任：马宁</w:t>
            </w:r>
          </w:p>
        </w:tc>
      </w:tr>
      <w:tr w:rsidR="006414D9" w:rsidRPr="00D232BE" w14:paraId="1DC5A42B" w14:textId="77777777">
        <w:trPr>
          <w:trHeight w:val="90"/>
          <w:jc w:val="center"/>
        </w:trPr>
        <w:tc>
          <w:tcPr>
            <w:tcW w:w="1696" w:type="dxa"/>
            <w:vAlign w:val="center"/>
          </w:tcPr>
          <w:p w14:paraId="0FFD22E9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投资者关系活动</w:t>
            </w:r>
          </w:p>
          <w:p w14:paraId="7D3100BC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主要内容介绍</w:t>
            </w:r>
          </w:p>
        </w:tc>
        <w:tc>
          <w:tcPr>
            <w:tcW w:w="7236" w:type="dxa"/>
            <w:gridSpan w:val="2"/>
          </w:tcPr>
          <w:p w14:paraId="7D51939A" w14:textId="3BC06A03" w:rsidR="00E53575" w:rsidRDefault="00E53575" w:rsidP="00E53575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B808A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海南航空控股股份有限公司（以下简称“海航控股”或“公司”）于</w:t>
            </w:r>
            <w:r w:rsidR="0023651E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2024年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11</w:t>
            </w:r>
            <w:r w:rsidRPr="00B808AB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4</w:t>
            </w:r>
            <w:r w:rsidRPr="00B808AB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日与</w:t>
            </w:r>
            <w:r w:rsidR="00C1518B" w:rsidRPr="0041070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国联证券、</w:t>
            </w:r>
            <w:r w:rsidR="00BA436C" w:rsidRPr="0041070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广发证券</w:t>
            </w:r>
            <w:r w:rsidR="00D7256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、中金公司、华泰证券</w:t>
            </w:r>
            <w:r w:rsidRPr="00D7256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等</w:t>
            </w:r>
            <w:r w:rsidR="00D72565" w:rsidRPr="00D7256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5</w:t>
            </w:r>
            <w:r w:rsidR="00A852D4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1</w:t>
            </w:r>
            <w:r w:rsidRPr="00D7256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家</w:t>
            </w:r>
            <w:r w:rsidRPr="00D7256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机构</w:t>
            </w:r>
            <w:r w:rsidRPr="00D97D0A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通过电话会</w:t>
            </w:r>
            <w:r w:rsidRPr="00D97D0A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lastRenderedPageBreak/>
              <w:t>议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的</w:t>
            </w:r>
            <w:r w:rsidRPr="00D97D0A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方式召开了</w:t>
            </w:r>
            <w:r w:rsidR="0023651E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交流</w:t>
            </w:r>
            <w:r w:rsidR="00500F6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会</w:t>
            </w:r>
            <w:r w:rsidRPr="00B808A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。</w:t>
            </w:r>
            <w:r w:rsidRPr="00B808AB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会议期间，公司介绍了202</w:t>
            </w:r>
            <w:r w:rsidRPr="00B808A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年三季度</w:t>
            </w:r>
            <w:r w:rsidRPr="00B808A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生产经营情况</w:t>
            </w:r>
            <w:r w:rsidRPr="00B808AB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，并就</w:t>
            </w:r>
            <w:r w:rsidRPr="00B808A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投资者</w:t>
            </w:r>
            <w:r w:rsidRPr="00B808AB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关注的问题进行了详细解答与交流。</w:t>
            </w:r>
          </w:p>
          <w:p w14:paraId="65B7D6AB" w14:textId="72C014BC" w:rsidR="008032E0" w:rsidRDefault="00BD75E5" w:rsidP="005943F3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会上，海航控股董事会秘书葛兴峰对海航控股前三季度业绩进行了</w:t>
            </w:r>
            <w:r w:rsidR="00C1518B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简要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介绍：</w:t>
            </w:r>
            <w:r w:rsidRPr="00BD75E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2024年前三季度，海航控股实现营业收入517.29亿元，较上年同期增长约10.68%；</w:t>
            </w:r>
            <w:proofErr w:type="gramStart"/>
            <w:r w:rsidRPr="00BD75E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归母净利润</w:t>
            </w:r>
            <w:proofErr w:type="gramEnd"/>
            <w:r w:rsidRPr="00BD75E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21.73亿元，较上年同期增长145.43%。其中，第三季度，公司上下积极布局、抢抓暑运机遇，最终实现营业收入199.86亿元，较上年同期增长4.63%；</w:t>
            </w:r>
            <w:proofErr w:type="gramStart"/>
            <w:r w:rsidRPr="00BD75E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归母净利润</w:t>
            </w:r>
            <w:proofErr w:type="gramEnd"/>
            <w:r w:rsidRPr="00BD75E5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28.09亿元，较上年同期增长12.6%。</w:t>
            </w:r>
          </w:p>
          <w:p w14:paraId="7CF55AF4" w14:textId="7293CED3" w:rsidR="0023651E" w:rsidRPr="008032E0" w:rsidRDefault="0023651E" w:rsidP="005943F3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问答环节主要内容</w:t>
            </w:r>
            <w:r w:rsidR="0041070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简述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如下：</w:t>
            </w:r>
          </w:p>
          <w:p w14:paraId="4058A92C" w14:textId="6AEAF51C" w:rsidR="008032E0" w:rsidRDefault="00271B09" w:rsidP="008032E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1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.</w:t>
            </w:r>
            <w:r w:rsid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2024年前三季度海航控股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国内</w:t>
            </w:r>
            <w:r w:rsid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、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国际票价表现？</w:t>
            </w:r>
            <w:r w:rsidR="005943F3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45ED9AC" w14:textId="313F4C38" w:rsidR="008032E0" w:rsidRPr="00B23106" w:rsidRDefault="005943F3" w:rsidP="00F0586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国内票价表现：2024年前三季度，民航运行总体呈现“稳中有进、持续向好”态势。国内民航旅客运输由疫情后爆发式增长回归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至自然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增长，前三季度民航国内航线旅客运输量5.05亿人次、同比增长13.4%，其中第三季度民航国内航线旅客运输量1.8亿人次、同比增长8.3%。随着旅游行业供需常态化回归，且高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铁冲击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民航中短程航线，国内航空市场竞争加剧，旅客对机票价格更敏感、出行需求呈多样化，航空公司为吸引旅客采取积极的价格策略，国内航线票价逐步回落。公司持续通过优化航线网络结构、创新航旅产品、提升航空服务质量等方式满足旅客出行需求</w:t>
            </w:r>
            <w:r w:rsidR="00D7256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。</w:t>
            </w:r>
            <w:r w:rsidR="006B0C29" w:rsidRPr="006B0C29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2024年前三季度公司国内航线票价变化趋势与民航行业基本一致，同比2019年增长15%，其中第三季度国内航线票价同比2019年增长12%。</w:t>
            </w:r>
          </w:p>
          <w:p w14:paraId="01F08DFC" w14:textId="7A59F3FE" w:rsidR="008032E0" w:rsidRPr="00410708" w:rsidRDefault="008032E0" w:rsidP="0041070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国际票价表现：随着国际运力逐步恢复，国际市场票价水平逐步回归市场正常状态，与2019年比仍然处于增长态势，第三季度国际航线票价同比2019年提高10%以上。同时国际货运市场在第三季度表现非常强劲，货运淡季期间仍保持较高效益水平。</w:t>
            </w:r>
          </w:p>
          <w:p w14:paraId="0483B8CB" w14:textId="5C3AB41F" w:rsidR="008032E0" w:rsidRPr="008032E0" w:rsidRDefault="00410708" w:rsidP="008032E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2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当前的市场环境，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国内市场考虑海南游热度消退，如何看待后续的市场表现和</w:t>
            </w:r>
            <w:r w:rsid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机票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价格变化</w:t>
            </w:r>
            <w:r w:rsid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？</w:t>
            </w:r>
          </w:p>
          <w:p w14:paraId="4C54F8B9" w14:textId="2B12603B" w:rsidR="008032E0" w:rsidRPr="008032E0" w:rsidRDefault="005943F3" w:rsidP="008032E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四季度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是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民航市场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的传统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淡季，国内航线票价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水平环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比第三季度回落，但哈尔滨冰雪游、海南避寒游等成为冬季旅游主旋律，且随着海南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自贸港的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深入建设，海南民航客流构成不再单一化，商务、休闲、学生旅客成为重要客源。公司秉持五星航空服务品质，持续完善以海南为大本营、以北广深成渝等为核心枢纽的骨干航线网络，加大冬季热门旅游市场运力航班投放，提升精品快线、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自贸港快线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等产品服务，创新具有竞争力的“机+X”产品体系，满足旅客多元化出行需求，吸引更多旅客选择公司航班出行，促进航线票价稳定，带动公司经营效益提升。尽管当前海南游热度有所减退，对短期内价格和旅游收入造成一定影响，但得益于海南自由贸易港的政策优势、丰富的旅游资源和长期市场转型升级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lastRenderedPageBreak/>
              <w:t>的努力，海南国际市场长期看有望稳步增长，</w:t>
            </w:r>
            <w:r w:rsidR="003F0E9D" w:rsidRPr="003F0E9D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价格水平或随高品质服务与国际游客增加而保持稳定甚至上涨，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展现出其作为世界级旅游目的地的潜力。</w:t>
            </w:r>
          </w:p>
          <w:p w14:paraId="72D6ABC8" w14:textId="1AFE378B" w:rsidR="008032E0" w:rsidRPr="008032E0" w:rsidRDefault="00410708" w:rsidP="008032E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3</w:t>
            </w:r>
            <w:r w:rsidR="008032E0" w:rsidRPr="0023651E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.明年怎么看待国际的恢复和表现，中美航线的恢复</w:t>
            </w:r>
            <w:r w:rsidR="00B23106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情况，</w:t>
            </w:r>
            <w:r w:rsidR="008032E0" w:rsidRPr="0023651E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中加友好</w:t>
            </w:r>
            <w:r w:rsidR="0023651E" w:rsidRPr="0023651E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往来</w:t>
            </w:r>
            <w:r w:rsidR="008032E0" w:rsidRPr="0023651E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有什么影响？</w:t>
            </w:r>
            <w:r w:rsidR="005943F3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792F704" w14:textId="3607CBDE" w:rsidR="008032E0" w:rsidRPr="008032E0" w:rsidRDefault="005943F3" w:rsidP="003F0E9D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</w:t>
            </w:r>
            <w:r w:rsidR="006A760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：</w:t>
            </w:r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截至目前，公司国际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航线周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班量已恢复至2019年国际航线平均周航班量接近80%的水平。2024年11月至12月，公司仍将继续推进国际业务的恢复。计划11月15日起新开海口=迪拜航线；11月19日起复航深圳=马德里航线；12月1日起新开成都（天府）=维也纳航线；12月3日起新开西安=符拉迪沃斯托克航线。除此以外，还有多条航线的增频或新开计划正在积极筹备中。预计截至2024年底，公司国际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航线周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航班量将恢复至2019年国际航线平均周航班量100%的水平。</w:t>
            </w:r>
          </w:p>
          <w:p w14:paraId="7C1B2320" w14:textId="4466B3FB" w:rsidR="008032E0" w:rsidRPr="008032E0" w:rsidRDefault="008032E0" w:rsidP="0001183E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中加航线方面，根据中国、加拿大民航主管部门最新会谈情况，中加直飞航线将迎来一轮新增。公司将于2024年11月中旬起复航北京=多伦多直飞航线，每</w:t>
            </w:r>
            <w:proofErr w:type="gramStart"/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周执行</w:t>
            </w:r>
            <w:proofErr w:type="gramEnd"/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1班</w:t>
            </w:r>
            <w:r w:rsidR="0001183E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；</w:t>
            </w: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加上在飞的深圳=温哥华航线1班/周，</w:t>
            </w:r>
            <w:r w:rsidR="0001183E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公司</w:t>
            </w: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将执行2班/周中加直飞航线。</w:t>
            </w:r>
            <w:r w:rsidR="0001183E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中美航线方面，</w:t>
            </w:r>
            <w:r w:rsidR="0001183E"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目前公司执行中美航线6班/周，包括北京=波士顿（回程技术经停布鲁塞尔）3班/周、北京=西雅图2班/周和海口=重庆=西雅图1班/周。</w:t>
            </w:r>
          </w:p>
          <w:p w14:paraId="2A52A321" w14:textId="77777777" w:rsidR="008032E0" w:rsidRPr="008032E0" w:rsidRDefault="008032E0" w:rsidP="0001183E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2025年，公司将基于市场需求、中外航权政策等因素，继续推进国际业务拓展。在“一带一路”倡议等指引下，公司也将对新兴市场航线开发投入更多资源。</w:t>
            </w:r>
          </w:p>
          <w:p w14:paraId="3F48ECB9" w14:textId="5D6430AD" w:rsidR="008032E0" w:rsidRPr="008032E0" w:rsidRDefault="00410708" w:rsidP="008032E0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4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.</w:t>
            </w:r>
            <w:r w:rsidR="00B23106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公司</w:t>
            </w:r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未来</w:t>
            </w:r>
            <w:proofErr w:type="gramStart"/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的航网结构</w:t>
            </w:r>
            <w:proofErr w:type="gramEnd"/>
            <w:r w:rsidR="008032E0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会否有变化？</w:t>
            </w:r>
            <w:r w:rsidR="005943F3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41450C49" w14:textId="1B978048" w:rsidR="00385628" w:rsidRPr="00385628" w:rsidRDefault="00220896" w:rsidP="0038562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38562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结合公司的发展定位，在国内航线网络方面，主要围绕2个方向拓展：一是骨干航线的优化提质增效益。围绕北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上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广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深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杭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成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渝之间的公商务主骨干航线，集中优质资源打造精品快线和精品航线；围绕海口主基地与北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上</w:t>
            </w:r>
            <w:r w:rsidR="001F6F75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、</w:t>
            </w:r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广，以及二线重点省会城市间的</w:t>
            </w:r>
            <w:proofErr w:type="gramStart"/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自贸港快线</w:t>
            </w:r>
            <w:proofErr w:type="gramEnd"/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，兼顾时刻布局优化和频次提升，打造频次</w:t>
            </w:r>
            <w:proofErr w:type="gramStart"/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份额超</w:t>
            </w:r>
            <w:proofErr w:type="gramEnd"/>
            <w:r w:rsidR="00385628"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 xml:space="preserve">40%的差异化优势航线。二是新开航线拓展强枢纽。重点围绕海口、重庆、长沙等主要市场拓展新的国内航线，拓展海口至经济发达的省域副中心城市、经济发达的三四线城市航线，打造海口面向“两洋”国内支撑国际的干支结合航线网络。 </w:t>
            </w:r>
          </w:p>
          <w:p w14:paraId="6BAE56D6" w14:textId="10F5325A" w:rsidR="008032E0" w:rsidRPr="008032E0" w:rsidRDefault="00385628" w:rsidP="0038562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国际航线网络方面主要围绕海口、重庆、北京首都、深圳建设。海口构建以RCEP国家航线为主骨干，辐射西亚、北非、南亚等印度洋地区，连接欧美一线城市的国际网络，整合国内国际两张网，重点打造面向澳新、东南亚为主的南向国际中转枢纽功能。重庆以欧洲、北美一线城市远程航线为主，打造西部向北美一线城市开放的门户；北京首都重点完善差异化的欧美远程航线，结合国家战略</w:t>
            </w:r>
            <w:r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lastRenderedPageBreak/>
              <w:t>和首都对外交往的需要，拓展北京至北非、中美洲“一带一路”中亚节点远程洲际航线。深圳配合政府“战略性”洲际航线需求精准发力，构建与社会主义先行示范城市功能相匹配的航线网络，聚焦同国外科技产业、现代化制造业和服务业、教育产业、文</w:t>
            </w:r>
            <w:proofErr w:type="gramStart"/>
            <w:r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创产业</w:t>
            </w:r>
            <w:proofErr w:type="gramEnd"/>
            <w:r w:rsidRPr="0038562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聚焦的城市连接，发挥公司在远程航线上的差异化竞争优势。</w:t>
            </w:r>
          </w:p>
          <w:p w14:paraId="23A2C7B8" w14:textId="541F9698" w:rsidR="00410708" w:rsidRPr="008032E0" w:rsidRDefault="00410708" w:rsidP="0041070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5</w:t>
            </w:r>
            <w:r w:rsidR="003F0E9D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.</w:t>
            </w:r>
            <w:r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今年</w:t>
            </w: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三季度</w:t>
            </w:r>
            <w:r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其他收益即政府补贴增加较多，原因是什么？会否可持续？ </w:t>
            </w:r>
          </w:p>
          <w:p w14:paraId="1F15302E" w14:textId="77777777" w:rsidR="00410708" w:rsidRDefault="00410708" w:rsidP="0041070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随着疫情的控制和国际旅行限制的放宽，国际航线逐渐恢复，结合公司积极与各地政府及机场的协调与沟通，故前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三</w:t>
            </w: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季度公司补贴航线条数及补贴金额均增加、增多。</w:t>
            </w:r>
          </w:p>
          <w:p w14:paraId="173341CC" w14:textId="66A3D3A7" w:rsidR="00410708" w:rsidRPr="00410708" w:rsidRDefault="00C626CA" w:rsidP="0041070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color w:val="FF0000"/>
                <w:sz w:val="21"/>
                <w:szCs w:val="21"/>
                <w:lang w:val="en-US" w:eastAsia="zh-CN"/>
              </w:rPr>
            </w:pPr>
            <w:r w:rsidRPr="00C626CA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关于此项收益的可持续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性</w:t>
            </w:r>
            <w:r w:rsidRPr="00C626CA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受到政府的财政状况、经济的整体走势、行业的发展趋势等因素的影响，客观上存在不确定性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。</w:t>
            </w:r>
          </w:p>
          <w:p w14:paraId="7DF62A69" w14:textId="083AE218" w:rsidR="00410708" w:rsidRPr="00410708" w:rsidRDefault="00410708" w:rsidP="00410708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6</w:t>
            </w:r>
            <w:r w:rsidRPr="00410708"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四季度</w:t>
            </w:r>
            <w:proofErr w:type="gramStart"/>
            <w:r w:rsidRPr="00410708"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单位扣油成本</w:t>
            </w:r>
            <w:proofErr w:type="gramEnd"/>
            <w:r w:rsidRPr="00410708"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会否延续Q3</w:t>
            </w: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的趋势</w:t>
            </w: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？</w:t>
            </w:r>
            <w:r w:rsidRPr="0041070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公司远期成本是否有进一步改善的空间？</w:t>
            </w:r>
          </w:p>
          <w:p w14:paraId="628363FA" w14:textId="77777777" w:rsidR="00C626CA" w:rsidRDefault="00410708" w:rsidP="00C626CA">
            <w:pPr>
              <w:pStyle w:val="TableParagraph"/>
              <w:spacing w:line="400" w:lineRule="exact"/>
              <w:ind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41070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Pr="0041070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四季度属于民航传统淡季，生产量环比三季度会有所下降，不含油的座公里成本会随着生产量的下降而有所上升。</w:t>
            </w:r>
          </w:p>
          <w:p w14:paraId="3FE527D3" w14:textId="067C1D79" w:rsidR="00410708" w:rsidRPr="00410708" w:rsidRDefault="00C626CA" w:rsidP="00C626CA">
            <w:pPr>
              <w:pStyle w:val="TableParagraph"/>
              <w:spacing w:line="400" w:lineRule="exact"/>
              <w:ind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随着国内航线网络不断优化及</w:t>
            </w:r>
            <w:r w:rsidR="00410708" w:rsidRPr="00410708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国际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航线</w:t>
            </w:r>
            <w:r w:rsidR="00410708" w:rsidRPr="00410708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的进一步开航</w:t>
            </w:r>
            <w:r w:rsidR="00410708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/复航</w:t>
            </w:r>
            <w:r w:rsidR="00410708" w:rsidRPr="00410708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，飞机的日利用率将得到进一步的提升，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成本得到进一步改善</w:t>
            </w:r>
            <w:r w:rsidR="00410708" w:rsidRPr="00410708"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。</w:t>
            </w:r>
          </w:p>
          <w:p w14:paraId="75C88B02" w14:textId="6601B8FE" w:rsidR="003F0E9D" w:rsidRPr="008032E0" w:rsidRDefault="00410708" w:rsidP="003F0E9D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val="en-US" w:eastAsia="zh-CN"/>
              </w:rPr>
              <w:t>.</w:t>
            </w:r>
            <w:proofErr w:type="gramStart"/>
            <w:r w:rsidR="003F0E9D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公司</w:t>
            </w:r>
            <w:r w:rsidR="003F0E9D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受普惠</w:t>
            </w:r>
            <w:proofErr w:type="gramEnd"/>
            <w:r w:rsidR="003F0E9D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发动机影响需要返厂检修的</w:t>
            </w:r>
            <w:r w:rsidR="003F0E9D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飞机</w:t>
            </w:r>
            <w:r w:rsidR="003F0E9D" w:rsidRPr="008032E0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有多少？ </w:t>
            </w:r>
          </w:p>
          <w:p w14:paraId="2D5E829E" w14:textId="2D0E0D57" w:rsidR="007637B6" w:rsidRPr="003F0E9D" w:rsidRDefault="003F0E9D" w:rsidP="003F0E9D">
            <w:pPr>
              <w:pStyle w:val="TableParagraph"/>
              <w:spacing w:line="400" w:lineRule="exact"/>
              <w:ind w:left="0"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5943F3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 w:rsidRPr="008032E0"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公司运营机型未涉及普惠发动机。此事项未对公司生产运营造成影响。</w:t>
            </w:r>
          </w:p>
        </w:tc>
      </w:tr>
      <w:tr w:rsidR="006414D9" w14:paraId="0B9F1B1F" w14:textId="77777777">
        <w:trPr>
          <w:trHeight w:val="4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237C503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lastRenderedPageBreak/>
              <w:t>附件清单（如有</w:t>
            </w:r>
            <w:proofErr w:type="spellEnd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）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</w:tcPr>
          <w:p w14:paraId="708DD130" w14:textId="77777777" w:rsidR="006414D9" w:rsidRPr="000A1D85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0A1D85">
              <w:rPr>
                <w:rFonts w:ascii="微软雅黑" w:eastAsia="微软雅黑" w:hAnsi="微软雅黑" w:hint="eastAsia"/>
                <w:sz w:val="21"/>
                <w:szCs w:val="21"/>
              </w:rPr>
              <w:t>无</w:t>
            </w:r>
          </w:p>
        </w:tc>
      </w:tr>
      <w:tr w:rsidR="006414D9" w14:paraId="36623B6D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1E03153" w14:textId="77777777" w:rsidR="006414D9" w:rsidRDefault="00381C3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</w:tcPr>
          <w:p w14:paraId="40D13EC7" w14:textId="72BFB15E" w:rsidR="006414D9" w:rsidRPr="000A1D85" w:rsidRDefault="00DF3E5C" w:rsidP="00645EB8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 w:rsidRPr="000A1D8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2</w:t>
            </w:r>
            <w:r w:rsidRPr="000A1D85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024</w:t>
            </w:r>
            <w:r w:rsidRPr="000A1D8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年</w:t>
            </w:r>
            <w:r w:rsidR="00E5357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11</w:t>
            </w:r>
            <w:r w:rsidRPr="000A1D8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月</w:t>
            </w:r>
            <w:r w:rsidR="00E5357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4</w:t>
            </w:r>
            <w:r w:rsidRPr="000A1D8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14:paraId="718E83FC" w14:textId="77777777" w:rsidR="006414D9" w:rsidRDefault="00381C38">
      <w:pPr>
        <w:spacing w:line="400" w:lineRule="exact"/>
        <w:ind w:firstLineChars="200" w:firstLine="420"/>
        <w:jc w:val="both"/>
        <w:rPr>
          <w:rFonts w:ascii="微软雅黑" w:eastAsia="微软雅黑" w:hAnsi="微软雅黑" w:hint="eastAsia"/>
          <w:sz w:val="21"/>
          <w:lang w:val="en-US"/>
        </w:rPr>
      </w:pPr>
      <w:r>
        <w:rPr>
          <w:rFonts w:ascii="微软雅黑" w:eastAsia="微软雅黑" w:hAnsi="微软雅黑" w:hint="eastAsia"/>
          <w:sz w:val="21"/>
          <w:lang w:val="en-US"/>
        </w:rPr>
        <w:t>备注：通过不同的方式，公司与投资者进行了充分的交流与沟通，并严格按照信息披露相关法律法规和公司《信息披露事务管理制度》等规定，保证信息披露的真实、准确、完整、及时、公平，并未出现未公开重大信息泄露等情况。</w:t>
      </w:r>
    </w:p>
    <w:p w14:paraId="036A4E04" w14:textId="064179A9" w:rsidR="006414D9" w:rsidRDefault="00381C38">
      <w:pPr>
        <w:spacing w:line="400" w:lineRule="exact"/>
        <w:ind w:firstLineChars="200" w:firstLine="420"/>
        <w:jc w:val="both"/>
        <w:rPr>
          <w:rFonts w:ascii="微软雅黑" w:eastAsia="微软雅黑" w:hAnsi="微软雅黑" w:hint="eastAsia"/>
          <w:sz w:val="21"/>
          <w:lang w:val="en-US"/>
        </w:rPr>
      </w:pPr>
      <w:r>
        <w:rPr>
          <w:rFonts w:ascii="微软雅黑" w:eastAsia="微软雅黑" w:hAnsi="微软雅黑" w:hint="eastAsia"/>
          <w:sz w:val="21"/>
          <w:lang w:val="en-US"/>
        </w:rPr>
        <w:t>公司董事会将严格按照《上海证券交易所股票上市规则》等相关规定认真履行信息披露义务，及时披露相关事项的进展。公司指定信息披露媒体为《中国证券报》、《证券日报》及上海证券交易所网站（www.sse.com.cn），公司所有信息均以在上述指定媒体和网站披露的为准。敬请广大投资者关注公司公告，并注意投资风险。</w:t>
      </w:r>
    </w:p>
    <w:sectPr w:rsidR="006414D9">
      <w:headerReference w:type="default" r:id="rId8"/>
      <w:footerReference w:type="default" r:id="rId9"/>
      <w:pgSz w:w="11906" w:h="16838"/>
      <w:pgMar w:top="1417" w:right="1418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F3866" w14:textId="77777777" w:rsidR="00A469A7" w:rsidRDefault="00A469A7">
      <w:pPr>
        <w:rPr>
          <w:rFonts w:hint="eastAsia"/>
        </w:rPr>
      </w:pPr>
      <w:r>
        <w:separator/>
      </w:r>
    </w:p>
  </w:endnote>
  <w:endnote w:type="continuationSeparator" w:id="0">
    <w:p w14:paraId="3D07C8AB" w14:textId="77777777" w:rsidR="00A469A7" w:rsidRDefault="00A46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0072326"/>
    </w:sdtPr>
    <w:sdtContent>
      <w:p w14:paraId="010839B4" w14:textId="77777777" w:rsidR="006414D9" w:rsidRDefault="00381C38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8C">
          <w:rPr>
            <w:noProof/>
          </w:rPr>
          <w:t>1</w:t>
        </w:r>
        <w:r>
          <w:fldChar w:fldCharType="end"/>
        </w:r>
      </w:p>
    </w:sdtContent>
  </w:sdt>
  <w:p w14:paraId="339A7174" w14:textId="77777777" w:rsidR="006414D9" w:rsidRDefault="006414D9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DB07" w14:textId="77777777" w:rsidR="00A469A7" w:rsidRDefault="00A469A7">
      <w:pPr>
        <w:rPr>
          <w:rFonts w:hint="eastAsia"/>
        </w:rPr>
      </w:pPr>
      <w:r>
        <w:separator/>
      </w:r>
    </w:p>
  </w:footnote>
  <w:footnote w:type="continuationSeparator" w:id="0">
    <w:p w14:paraId="168812B8" w14:textId="77777777" w:rsidR="00A469A7" w:rsidRDefault="00A469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B9B14" w14:textId="2D02B06D" w:rsidR="00093EFF" w:rsidRDefault="00093EFF">
    <w:pPr>
      <w:pStyle w:val="ab"/>
      <w:rPr>
        <w:rFonts w:hint="eastAsia"/>
      </w:rPr>
    </w:pPr>
  </w:p>
  <w:p w14:paraId="5B371864" w14:textId="77777777" w:rsidR="00093EFF" w:rsidRDefault="00093EFF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126319"/>
    <w:multiLevelType w:val="singleLevel"/>
    <w:tmpl w:val="C712631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9A66066"/>
    <w:multiLevelType w:val="hybridMultilevel"/>
    <w:tmpl w:val="981E4A8E"/>
    <w:lvl w:ilvl="0" w:tplc="6070FDB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1F4E7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AE39A2"/>
    <w:multiLevelType w:val="hybridMultilevel"/>
    <w:tmpl w:val="D3CA76EA"/>
    <w:lvl w:ilvl="0" w:tplc="3DEA988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7A11F6"/>
    <w:multiLevelType w:val="hybridMultilevel"/>
    <w:tmpl w:val="C2D64154"/>
    <w:lvl w:ilvl="0" w:tplc="494E94F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606541554">
    <w:abstractNumId w:val="1"/>
  </w:num>
  <w:num w:numId="2" w16cid:durableId="1286427175">
    <w:abstractNumId w:val="0"/>
  </w:num>
  <w:num w:numId="3" w16cid:durableId="903492881">
    <w:abstractNumId w:val="2"/>
  </w:num>
  <w:num w:numId="4" w16cid:durableId="167865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CFD"/>
    <w:rsid w:val="00004FAE"/>
    <w:rsid w:val="00005D6C"/>
    <w:rsid w:val="0001183E"/>
    <w:rsid w:val="00011C86"/>
    <w:rsid w:val="00013174"/>
    <w:rsid w:val="00025649"/>
    <w:rsid w:val="000270DB"/>
    <w:rsid w:val="00027651"/>
    <w:rsid w:val="00030AAC"/>
    <w:rsid w:val="0003263D"/>
    <w:rsid w:val="00034EE4"/>
    <w:rsid w:val="00043317"/>
    <w:rsid w:val="000451F4"/>
    <w:rsid w:val="0005161D"/>
    <w:rsid w:val="000538C4"/>
    <w:rsid w:val="000570E0"/>
    <w:rsid w:val="00057EB8"/>
    <w:rsid w:val="00067ABA"/>
    <w:rsid w:val="0007071E"/>
    <w:rsid w:val="0007364E"/>
    <w:rsid w:val="000739D7"/>
    <w:rsid w:val="00075A5B"/>
    <w:rsid w:val="00083D35"/>
    <w:rsid w:val="0009365B"/>
    <w:rsid w:val="00093EFF"/>
    <w:rsid w:val="000A1D85"/>
    <w:rsid w:val="000A22A1"/>
    <w:rsid w:val="000A7026"/>
    <w:rsid w:val="000B25D6"/>
    <w:rsid w:val="000C12E4"/>
    <w:rsid w:val="000D24D0"/>
    <w:rsid w:val="000D3227"/>
    <w:rsid w:val="000F0A3E"/>
    <w:rsid w:val="000F0CBF"/>
    <w:rsid w:val="00101D89"/>
    <w:rsid w:val="00112AD0"/>
    <w:rsid w:val="0011306B"/>
    <w:rsid w:val="001169F3"/>
    <w:rsid w:val="00127F27"/>
    <w:rsid w:val="00144A84"/>
    <w:rsid w:val="00150A70"/>
    <w:rsid w:val="0015185D"/>
    <w:rsid w:val="0015375E"/>
    <w:rsid w:val="00163BBE"/>
    <w:rsid w:val="00164002"/>
    <w:rsid w:val="001670A9"/>
    <w:rsid w:val="00172A27"/>
    <w:rsid w:val="00194085"/>
    <w:rsid w:val="001B7A34"/>
    <w:rsid w:val="001C0B77"/>
    <w:rsid w:val="001D0263"/>
    <w:rsid w:val="001D13E8"/>
    <w:rsid w:val="001D15DD"/>
    <w:rsid w:val="001D46A0"/>
    <w:rsid w:val="001D7825"/>
    <w:rsid w:val="001E01D5"/>
    <w:rsid w:val="001E0AE5"/>
    <w:rsid w:val="001F6F75"/>
    <w:rsid w:val="001F7370"/>
    <w:rsid w:val="00220896"/>
    <w:rsid w:val="0023651E"/>
    <w:rsid w:val="002417CA"/>
    <w:rsid w:val="00262FBB"/>
    <w:rsid w:val="00266CB5"/>
    <w:rsid w:val="00271B09"/>
    <w:rsid w:val="00275D4C"/>
    <w:rsid w:val="00280903"/>
    <w:rsid w:val="002850AF"/>
    <w:rsid w:val="002852E1"/>
    <w:rsid w:val="00287FA3"/>
    <w:rsid w:val="00292AEA"/>
    <w:rsid w:val="002B0889"/>
    <w:rsid w:val="002B3B44"/>
    <w:rsid w:val="002B6034"/>
    <w:rsid w:val="002B66E1"/>
    <w:rsid w:val="002B7212"/>
    <w:rsid w:val="002C0291"/>
    <w:rsid w:val="002C25AC"/>
    <w:rsid w:val="002C35B2"/>
    <w:rsid w:val="002E0705"/>
    <w:rsid w:val="002E2616"/>
    <w:rsid w:val="002F36E4"/>
    <w:rsid w:val="002F492C"/>
    <w:rsid w:val="00300ED4"/>
    <w:rsid w:val="00303D13"/>
    <w:rsid w:val="00303E4C"/>
    <w:rsid w:val="0030491F"/>
    <w:rsid w:val="003200AB"/>
    <w:rsid w:val="00330680"/>
    <w:rsid w:val="00345C12"/>
    <w:rsid w:val="00346AF5"/>
    <w:rsid w:val="003501A7"/>
    <w:rsid w:val="003544D5"/>
    <w:rsid w:val="003650D5"/>
    <w:rsid w:val="0036697C"/>
    <w:rsid w:val="00366C6D"/>
    <w:rsid w:val="003670E3"/>
    <w:rsid w:val="00381394"/>
    <w:rsid w:val="00381C38"/>
    <w:rsid w:val="00385628"/>
    <w:rsid w:val="00386600"/>
    <w:rsid w:val="00394AEC"/>
    <w:rsid w:val="003A5C55"/>
    <w:rsid w:val="003B0AE3"/>
    <w:rsid w:val="003C0342"/>
    <w:rsid w:val="003C0941"/>
    <w:rsid w:val="003C2075"/>
    <w:rsid w:val="003D0F25"/>
    <w:rsid w:val="003E27DC"/>
    <w:rsid w:val="003E3F4D"/>
    <w:rsid w:val="003E56F3"/>
    <w:rsid w:val="003E6B54"/>
    <w:rsid w:val="003F0564"/>
    <w:rsid w:val="003F0E9D"/>
    <w:rsid w:val="00410708"/>
    <w:rsid w:val="00416DB8"/>
    <w:rsid w:val="004224A6"/>
    <w:rsid w:val="0042543A"/>
    <w:rsid w:val="00426146"/>
    <w:rsid w:val="00434969"/>
    <w:rsid w:val="00440652"/>
    <w:rsid w:val="00444FAA"/>
    <w:rsid w:val="00447DD0"/>
    <w:rsid w:val="00466129"/>
    <w:rsid w:val="00466214"/>
    <w:rsid w:val="00473AC2"/>
    <w:rsid w:val="00474000"/>
    <w:rsid w:val="00482AA2"/>
    <w:rsid w:val="0049209E"/>
    <w:rsid w:val="004957B0"/>
    <w:rsid w:val="004A4F34"/>
    <w:rsid w:val="004A4F82"/>
    <w:rsid w:val="004B30E2"/>
    <w:rsid w:val="004B32E6"/>
    <w:rsid w:val="004B7D85"/>
    <w:rsid w:val="004C1607"/>
    <w:rsid w:val="004C4E4C"/>
    <w:rsid w:val="004D1E1E"/>
    <w:rsid w:val="004E2ABD"/>
    <w:rsid w:val="004F0AD6"/>
    <w:rsid w:val="004F3391"/>
    <w:rsid w:val="004F33A9"/>
    <w:rsid w:val="004F3ED1"/>
    <w:rsid w:val="00500F60"/>
    <w:rsid w:val="00503278"/>
    <w:rsid w:val="0050492A"/>
    <w:rsid w:val="00511A0C"/>
    <w:rsid w:val="00520324"/>
    <w:rsid w:val="0052650F"/>
    <w:rsid w:val="005319F4"/>
    <w:rsid w:val="005331C0"/>
    <w:rsid w:val="0053326F"/>
    <w:rsid w:val="0053721D"/>
    <w:rsid w:val="0054115C"/>
    <w:rsid w:val="00541F2A"/>
    <w:rsid w:val="00544C87"/>
    <w:rsid w:val="0054542D"/>
    <w:rsid w:val="00545810"/>
    <w:rsid w:val="00551960"/>
    <w:rsid w:val="00557BF7"/>
    <w:rsid w:val="005606D9"/>
    <w:rsid w:val="0056320A"/>
    <w:rsid w:val="0056733A"/>
    <w:rsid w:val="00567B15"/>
    <w:rsid w:val="005715FE"/>
    <w:rsid w:val="005728F2"/>
    <w:rsid w:val="00581D3A"/>
    <w:rsid w:val="0058331C"/>
    <w:rsid w:val="00584AE2"/>
    <w:rsid w:val="0058670A"/>
    <w:rsid w:val="005943F3"/>
    <w:rsid w:val="00595B38"/>
    <w:rsid w:val="005A08D7"/>
    <w:rsid w:val="005B09A7"/>
    <w:rsid w:val="005B606E"/>
    <w:rsid w:val="005C0174"/>
    <w:rsid w:val="005C3120"/>
    <w:rsid w:val="005C6AF8"/>
    <w:rsid w:val="005D120E"/>
    <w:rsid w:val="005D7CB1"/>
    <w:rsid w:val="005E2A3C"/>
    <w:rsid w:val="005E35A2"/>
    <w:rsid w:val="005F31EF"/>
    <w:rsid w:val="005F786B"/>
    <w:rsid w:val="00605958"/>
    <w:rsid w:val="00606919"/>
    <w:rsid w:val="006076CE"/>
    <w:rsid w:val="0061440A"/>
    <w:rsid w:val="006215DB"/>
    <w:rsid w:val="00623451"/>
    <w:rsid w:val="00623527"/>
    <w:rsid w:val="00630934"/>
    <w:rsid w:val="00630FB2"/>
    <w:rsid w:val="00631620"/>
    <w:rsid w:val="006414D9"/>
    <w:rsid w:val="00643B7E"/>
    <w:rsid w:val="00644FFB"/>
    <w:rsid w:val="00645EB8"/>
    <w:rsid w:val="00655854"/>
    <w:rsid w:val="00672997"/>
    <w:rsid w:val="0067315F"/>
    <w:rsid w:val="00684C4D"/>
    <w:rsid w:val="00686CE6"/>
    <w:rsid w:val="00693E0D"/>
    <w:rsid w:val="00696E8C"/>
    <w:rsid w:val="006A1C97"/>
    <w:rsid w:val="006A47A4"/>
    <w:rsid w:val="006A7603"/>
    <w:rsid w:val="006B0C29"/>
    <w:rsid w:val="006C3A92"/>
    <w:rsid w:val="006C5139"/>
    <w:rsid w:val="006C51B9"/>
    <w:rsid w:val="006E2104"/>
    <w:rsid w:val="006E2139"/>
    <w:rsid w:val="006F06DA"/>
    <w:rsid w:val="006F283C"/>
    <w:rsid w:val="006F5875"/>
    <w:rsid w:val="00700993"/>
    <w:rsid w:val="00705656"/>
    <w:rsid w:val="007066B0"/>
    <w:rsid w:val="00711D3D"/>
    <w:rsid w:val="007174DD"/>
    <w:rsid w:val="0071781E"/>
    <w:rsid w:val="007302CF"/>
    <w:rsid w:val="0073676E"/>
    <w:rsid w:val="00736811"/>
    <w:rsid w:val="00736D86"/>
    <w:rsid w:val="00742C33"/>
    <w:rsid w:val="007571A3"/>
    <w:rsid w:val="007603D1"/>
    <w:rsid w:val="007637B6"/>
    <w:rsid w:val="0077426B"/>
    <w:rsid w:val="00776225"/>
    <w:rsid w:val="007830F7"/>
    <w:rsid w:val="00783AB7"/>
    <w:rsid w:val="00796EDF"/>
    <w:rsid w:val="007A2B2C"/>
    <w:rsid w:val="007A2B47"/>
    <w:rsid w:val="007A45DA"/>
    <w:rsid w:val="007B262C"/>
    <w:rsid w:val="007B41B4"/>
    <w:rsid w:val="007B434E"/>
    <w:rsid w:val="007C3D3D"/>
    <w:rsid w:val="007D66AE"/>
    <w:rsid w:val="007E5155"/>
    <w:rsid w:val="007F06E2"/>
    <w:rsid w:val="007F0F4C"/>
    <w:rsid w:val="007F660F"/>
    <w:rsid w:val="007F79F4"/>
    <w:rsid w:val="00801852"/>
    <w:rsid w:val="008032E0"/>
    <w:rsid w:val="00813831"/>
    <w:rsid w:val="008203F6"/>
    <w:rsid w:val="008217A8"/>
    <w:rsid w:val="00825D7D"/>
    <w:rsid w:val="00826EB6"/>
    <w:rsid w:val="00872A3F"/>
    <w:rsid w:val="0087517E"/>
    <w:rsid w:val="008800D0"/>
    <w:rsid w:val="008A6D3A"/>
    <w:rsid w:val="008A76CA"/>
    <w:rsid w:val="008C326E"/>
    <w:rsid w:val="008C432C"/>
    <w:rsid w:val="008D3773"/>
    <w:rsid w:val="008E35FE"/>
    <w:rsid w:val="008E450D"/>
    <w:rsid w:val="008E4D37"/>
    <w:rsid w:val="008E6145"/>
    <w:rsid w:val="008E7B69"/>
    <w:rsid w:val="008F6545"/>
    <w:rsid w:val="0090044C"/>
    <w:rsid w:val="00900D2E"/>
    <w:rsid w:val="009053B2"/>
    <w:rsid w:val="0090571F"/>
    <w:rsid w:val="0091431F"/>
    <w:rsid w:val="00917128"/>
    <w:rsid w:val="0092123F"/>
    <w:rsid w:val="00924FF0"/>
    <w:rsid w:val="0094136C"/>
    <w:rsid w:val="0094248D"/>
    <w:rsid w:val="00946CD7"/>
    <w:rsid w:val="00954636"/>
    <w:rsid w:val="0095600D"/>
    <w:rsid w:val="00962356"/>
    <w:rsid w:val="00964265"/>
    <w:rsid w:val="009658B5"/>
    <w:rsid w:val="0097244F"/>
    <w:rsid w:val="00975F1B"/>
    <w:rsid w:val="00980AEA"/>
    <w:rsid w:val="00981E70"/>
    <w:rsid w:val="009879D0"/>
    <w:rsid w:val="0099120D"/>
    <w:rsid w:val="009A2322"/>
    <w:rsid w:val="009A28BF"/>
    <w:rsid w:val="009B0496"/>
    <w:rsid w:val="009B14F9"/>
    <w:rsid w:val="009B2CC4"/>
    <w:rsid w:val="009D5E5A"/>
    <w:rsid w:val="009D600F"/>
    <w:rsid w:val="009D6041"/>
    <w:rsid w:val="009E17D7"/>
    <w:rsid w:val="009E1B65"/>
    <w:rsid w:val="009E21B5"/>
    <w:rsid w:val="009E7BCB"/>
    <w:rsid w:val="009F787F"/>
    <w:rsid w:val="00A173F6"/>
    <w:rsid w:val="00A33DAB"/>
    <w:rsid w:val="00A46325"/>
    <w:rsid w:val="00A469A7"/>
    <w:rsid w:val="00A46B6B"/>
    <w:rsid w:val="00A56C3D"/>
    <w:rsid w:val="00A618F3"/>
    <w:rsid w:val="00A76400"/>
    <w:rsid w:val="00A8279E"/>
    <w:rsid w:val="00A852D4"/>
    <w:rsid w:val="00A9727A"/>
    <w:rsid w:val="00AA04E8"/>
    <w:rsid w:val="00AA593C"/>
    <w:rsid w:val="00AA6817"/>
    <w:rsid w:val="00AB3E6D"/>
    <w:rsid w:val="00AC4289"/>
    <w:rsid w:val="00AD05C3"/>
    <w:rsid w:val="00AE1D3F"/>
    <w:rsid w:val="00AE24E6"/>
    <w:rsid w:val="00AE594D"/>
    <w:rsid w:val="00AF0247"/>
    <w:rsid w:val="00AF3671"/>
    <w:rsid w:val="00B0073B"/>
    <w:rsid w:val="00B0540F"/>
    <w:rsid w:val="00B060CF"/>
    <w:rsid w:val="00B217C5"/>
    <w:rsid w:val="00B23106"/>
    <w:rsid w:val="00B25B27"/>
    <w:rsid w:val="00B26B15"/>
    <w:rsid w:val="00B26DBD"/>
    <w:rsid w:val="00B33568"/>
    <w:rsid w:val="00B34292"/>
    <w:rsid w:val="00B3570C"/>
    <w:rsid w:val="00B40A80"/>
    <w:rsid w:val="00B42C74"/>
    <w:rsid w:val="00B43317"/>
    <w:rsid w:val="00B4443E"/>
    <w:rsid w:val="00B44A7D"/>
    <w:rsid w:val="00B47529"/>
    <w:rsid w:val="00B47C6A"/>
    <w:rsid w:val="00B62608"/>
    <w:rsid w:val="00B6682A"/>
    <w:rsid w:val="00B760C2"/>
    <w:rsid w:val="00B808AB"/>
    <w:rsid w:val="00B8263D"/>
    <w:rsid w:val="00B95424"/>
    <w:rsid w:val="00B96B84"/>
    <w:rsid w:val="00BA2D8C"/>
    <w:rsid w:val="00BA436C"/>
    <w:rsid w:val="00BA5743"/>
    <w:rsid w:val="00BB1A2C"/>
    <w:rsid w:val="00BB1EA1"/>
    <w:rsid w:val="00BC47C1"/>
    <w:rsid w:val="00BD4DC7"/>
    <w:rsid w:val="00BD5DD3"/>
    <w:rsid w:val="00BD75E5"/>
    <w:rsid w:val="00BD76EA"/>
    <w:rsid w:val="00BE1549"/>
    <w:rsid w:val="00BE1EDC"/>
    <w:rsid w:val="00BE30F9"/>
    <w:rsid w:val="00BE5490"/>
    <w:rsid w:val="00BE7D24"/>
    <w:rsid w:val="00BF225A"/>
    <w:rsid w:val="00BF2E19"/>
    <w:rsid w:val="00BF4D68"/>
    <w:rsid w:val="00BF52EC"/>
    <w:rsid w:val="00C0581E"/>
    <w:rsid w:val="00C0731D"/>
    <w:rsid w:val="00C1188C"/>
    <w:rsid w:val="00C12899"/>
    <w:rsid w:val="00C1518B"/>
    <w:rsid w:val="00C201EE"/>
    <w:rsid w:val="00C23459"/>
    <w:rsid w:val="00C30D37"/>
    <w:rsid w:val="00C315AE"/>
    <w:rsid w:val="00C3678C"/>
    <w:rsid w:val="00C42640"/>
    <w:rsid w:val="00C5186C"/>
    <w:rsid w:val="00C55419"/>
    <w:rsid w:val="00C626CA"/>
    <w:rsid w:val="00C818BE"/>
    <w:rsid w:val="00C84EBB"/>
    <w:rsid w:val="00C95820"/>
    <w:rsid w:val="00CA0ABF"/>
    <w:rsid w:val="00CA1690"/>
    <w:rsid w:val="00CA23ED"/>
    <w:rsid w:val="00CA5920"/>
    <w:rsid w:val="00CB38C0"/>
    <w:rsid w:val="00CB44A2"/>
    <w:rsid w:val="00CB5AFE"/>
    <w:rsid w:val="00CD274C"/>
    <w:rsid w:val="00CD6851"/>
    <w:rsid w:val="00CE103D"/>
    <w:rsid w:val="00CF3082"/>
    <w:rsid w:val="00CF567C"/>
    <w:rsid w:val="00CF6F12"/>
    <w:rsid w:val="00D163C1"/>
    <w:rsid w:val="00D232BE"/>
    <w:rsid w:val="00D2588E"/>
    <w:rsid w:val="00D27BD8"/>
    <w:rsid w:val="00D40B61"/>
    <w:rsid w:val="00D42883"/>
    <w:rsid w:val="00D447A3"/>
    <w:rsid w:val="00D52806"/>
    <w:rsid w:val="00D6076F"/>
    <w:rsid w:val="00D72565"/>
    <w:rsid w:val="00D73E88"/>
    <w:rsid w:val="00D77E89"/>
    <w:rsid w:val="00D820B3"/>
    <w:rsid w:val="00D82B34"/>
    <w:rsid w:val="00D844D2"/>
    <w:rsid w:val="00DA072E"/>
    <w:rsid w:val="00DA6ABB"/>
    <w:rsid w:val="00DA77FA"/>
    <w:rsid w:val="00DB4DB9"/>
    <w:rsid w:val="00DB6484"/>
    <w:rsid w:val="00DC71C5"/>
    <w:rsid w:val="00DC72B0"/>
    <w:rsid w:val="00DD6874"/>
    <w:rsid w:val="00DD7518"/>
    <w:rsid w:val="00DE1F33"/>
    <w:rsid w:val="00DE52EB"/>
    <w:rsid w:val="00DE65E5"/>
    <w:rsid w:val="00DF171B"/>
    <w:rsid w:val="00DF1F0C"/>
    <w:rsid w:val="00DF3E5C"/>
    <w:rsid w:val="00DF5E62"/>
    <w:rsid w:val="00DF7B36"/>
    <w:rsid w:val="00E0588E"/>
    <w:rsid w:val="00E14832"/>
    <w:rsid w:val="00E14DAE"/>
    <w:rsid w:val="00E15131"/>
    <w:rsid w:val="00E17A50"/>
    <w:rsid w:val="00E25283"/>
    <w:rsid w:val="00E32498"/>
    <w:rsid w:val="00E332BE"/>
    <w:rsid w:val="00E35ACC"/>
    <w:rsid w:val="00E41D21"/>
    <w:rsid w:val="00E43E44"/>
    <w:rsid w:val="00E4474D"/>
    <w:rsid w:val="00E50F05"/>
    <w:rsid w:val="00E53575"/>
    <w:rsid w:val="00E57D69"/>
    <w:rsid w:val="00E72D4C"/>
    <w:rsid w:val="00E7563A"/>
    <w:rsid w:val="00E75690"/>
    <w:rsid w:val="00E77224"/>
    <w:rsid w:val="00E8018B"/>
    <w:rsid w:val="00E81EC3"/>
    <w:rsid w:val="00E84D0A"/>
    <w:rsid w:val="00E9040F"/>
    <w:rsid w:val="00E9226D"/>
    <w:rsid w:val="00E92CB9"/>
    <w:rsid w:val="00E93F7B"/>
    <w:rsid w:val="00E9669F"/>
    <w:rsid w:val="00EA1F94"/>
    <w:rsid w:val="00EA295F"/>
    <w:rsid w:val="00EA4DFC"/>
    <w:rsid w:val="00EB1576"/>
    <w:rsid w:val="00EB2E0E"/>
    <w:rsid w:val="00EB3E05"/>
    <w:rsid w:val="00EC0265"/>
    <w:rsid w:val="00EC7062"/>
    <w:rsid w:val="00EE00FC"/>
    <w:rsid w:val="00EE52B8"/>
    <w:rsid w:val="00EE6004"/>
    <w:rsid w:val="00EF25F1"/>
    <w:rsid w:val="00EF3672"/>
    <w:rsid w:val="00F05860"/>
    <w:rsid w:val="00F1335A"/>
    <w:rsid w:val="00F137BF"/>
    <w:rsid w:val="00F24823"/>
    <w:rsid w:val="00F24DC5"/>
    <w:rsid w:val="00F30BCB"/>
    <w:rsid w:val="00F40FCF"/>
    <w:rsid w:val="00F43932"/>
    <w:rsid w:val="00F43957"/>
    <w:rsid w:val="00F50C04"/>
    <w:rsid w:val="00F517CF"/>
    <w:rsid w:val="00F6368D"/>
    <w:rsid w:val="00F663D2"/>
    <w:rsid w:val="00F677C7"/>
    <w:rsid w:val="00F71DAF"/>
    <w:rsid w:val="00F730A3"/>
    <w:rsid w:val="00F94C69"/>
    <w:rsid w:val="00F96D8A"/>
    <w:rsid w:val="00FA0878"/>
    <w:rsid w:val="00FA0A0A"/>
    <w:rsid w:val="00FB7684"/>
    <w:rsid w:val="00FD11C1"/>
    <w:rsid w:val="00FD1627"/>
    <w:rsid w:val="00FE05D7"/>
    <w:rsid w:val="00FE3DBF"/>
    <w:rsid w:val="00FE74D9"/>
    <w:rsid w:val="00FF23BD"/>
    <w:rsid w:val="01167C8C"/>
    <w:rsid w:val="02177A65"/>
    <w:rsid w:val="02A91D81"/>
    <w:rsid w:val="02B04EBD"/>
    <w:rsid w:val="03697E71"/>
    <w:rsid w:val="04746BD1"/>
    <w:rsid w:val="063F358A"/>
    <w:rsid w:val="09626389"/>
    <w:rsid w:val="0AF81AF7"/>
    <w:rsid w:val="0B1F763B"/>
    <w:rsid w:val="0B697DC3"/>
    <w:rsid w:val="0C6A432F"/>
    <w:rsid w:val="0DB96B40"/>
    <w:rsid w:val="0E26072A"/>
    <w:rsid w:val="0F7B6853"/>
    <w:rsid w:val="0F9D2206"/>
    <w:rsid w:val="11423C31"/>
    <w:rsid w:val="119C0CBF"/>
    <w:rsid w:val="12906AB9"/>
    <w:rsid w:val="12DC585B"/>
    <w:rsid w:val="15512530"/>
    <w:rsid w:val="155618F4"/>
    <w:rsid w:val="155B6F0B"/>
    <w:rsid w:val="15DE6481"/>
    <w:rsid w:val="15EE0389"/>
    <w:rsid w:val="17C76D35"/>
    <w:rsid w:val="17D42FA4"/>
    <w:rsid w:val="188624F1"/>
    <w:rsid w:val="19F618F8"/>
    <w:rsid w:val="1B664139"/>
    <w:rsid w:val="1BA01B1B"/>
    <w:rsid w:val="1C705992"/>
    <w:rsid w:val="1CAB31B3"/>
    <w:rsid w:val="1D4C6752"/>
    <w:rsid w:val="1D5C4463"/>
    <w:rsid w:val="1D866287"/>
    <w:rsid w:val="1E7207E3"/>
    <w:rsid w:val="1FDF698A"/>
    <w:rsid w:val="21052421"/>
    <w:rsid w:val="2119542F"/>
    <w:rsid w:val="21413005"/>
    <w:rsid w:val="21FA7AAB"/>
    <w:rsid w:val="242D5F16"/>
    <w:rsid w:val="257F36C6"/>
    <w:rsid w:val="259B37CA"/>
    <w:rsid w:val="25CA0753"/>
    <w:rsid w:val="297F1662"/>
    <w:rsid w:val="2B9C75E9"/>
    <w:rsid w:val="2FDC06EC"/>
    <w:rsid w:val="302D2EA7"/>
    <w:rsid w:val="30E35FD1"/>
    <w:rsid w:val="31C024FF"/>
    <w:rsid w:val="32A17FD1"/>
    <w:rsid w:val="3419573F"/>
    <w:rsid w:val="343014E6"/>
    <w:rsid w:val="34C226AB"/>
    <w:rsid w:val="359F479A"/>
    <w:rsid w:val="378C0117"/>
    <w:rsid w:val="39CE38A0"/>
    <w:rsid w:val="3A4F49E1"/>
    <w:rsid w:val="3B8E32E7"/>
    <w:rsid w:val="3BE455FD"/>
    <w:rsid w:val="3C5A50FD"/>
    <w:rsid w:val="3C9506A5"/>
    <w:rsid w:val="3D530494"/>
    <w:rsid w:val="3E2A7C11"/>
    <w:rsid w:val="3E2C6DE7"/>
    <w:rsid w:val="3F240AEB"/>
    <w:rsid w:val="408D1DBF"/>
    <w:rsid w:val="410B53D9"/>
    <w:rsid w:val="421107CE"/>
    <w:rsid w:val="42BD43DB"/>
    <w:rsid w:val="42D33CD5"/>
    <w:rsid w:val="42F821FA"/>
    <w:rsid w:val="43D27FEA"/>
    <w:rsid w:val="45857508"/>
    <w:rsid w:val="45961D35"/>
    <w:rsid w:val="4685178A"/>
    <w:rsid w:val="46BF2821"/>
    <w:rsid w:val="48112550"/>
    <w:rsid w:val="48FC36C5"/>
    <w:rsid w:val="491A440C"/>
    <w:rsid w:val="49C36851"/>
    <w:rsid w:val="4B46773A"/>
    <w:rsid w:val="4D645288"/>
    <w:rsid w:val="4D8207D1"/>
    <w:rsid w:val="4ED5037D"/>
    <w:rsid w:val="4F4026F2"/>
    <w:rsid w:val="51D35A9F"/>
    <w:rsid w:val="52BD2EF5"/>
    <w:rsid w:val="59060509"/>
    <w:rsid w:val="59295A5F"/>
    <w:rsid w:val="592D2607"/>
    <w:rsid w:val="5A186745"/>
    <w:rsid w:val="5B6559BA"/>
    <w:rsid w:val="5C3670CB"/>
    <w:rsid w:val="5E8A3609"/>
    <w:rsid w:val="602B7059"/>
    <w:rsid w:val="606D7822"/>
    <w:rsid w:val="61406582"/>
    <w:rsid w:val="62175534"/>
    <w:rsid w:val="646A5DEF"/>
    <w:rsid w:val="67115CB8"/>
    <w:rsid w:val="680B1697"/>
    <w:rsid w:val="69E65EE9"/>
    <w:rsid w:val="6A491CB0"/>
    <w:rsid w:val="6B1B29CD"/>
    <w:rsid w:val="6BA22313"/>
    <w:rsid w:val="6DC46035"/>
    <w:rsid w:val="6F3B3C0A"/>
    <w:rsid w:val="6FA76B70"/>
    <w:rsid w:val="700901BA"/>
    <w:rsid w:val="70DC42EE"/>
    <w:rsid w:val="733D6532"/>
    <w:rsid w:val="73B3194A"/>
    <w:rsid w:val="74CD502E"/>
    <w:rsid w:val="769767EC"/>
    <w:rsid w:val="781C51FB"/>
    <w:rsid w:val="785C6166"/>
    <w:rsid w:val="79DE4547"/>
    <w:rsid w:val="7AA02113"/>
    <w:rsid w:val="7CFC2ECA"/>
    <w:rsid w:val="7D1961AD"/>
    <w:rsid w:val="7DC74AB5"/>
    <w:rsid w:val="7DE72337"/>
    <w:rsid w:val="7E7F64E4"/>
    <w:rsid w:val="7F8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771D8"/>
  <w15:docId w15:val="{5B8E20CB-1A7D-4874-94E6-903F741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hAnsi="宋体" w:cs="宋体"/>
      <w:sz w:val="18"/>
      <w:szCs w:val="18"/>
      <w:lang w:val="zh-CN" w:bidi="zh-CN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  <w:lang w:val="zh-CN" w:bidi="zh-CN"/>
    </w:rPr>
  </w:style>
  <w:style w:type="paragraph" w:styleId="af1">
    <w:name w:val="List Paragraph"/>
    <w:basedOn w:val="a"/>
    <w:uiPriority w:val="34"/>
    <w:qFormat/>
    <w:rsid w:val="00194085"/>
    <w:pPr>
      <w:widowControl/>
      <w:autoSpaceDE/>
      <w:autoSpaceDN/>
      <w:ind w:firstLineChars="200" w:firstLine="420"/>
    </w:pPr>
    <w:rPr>
      <w:sz w:val="24"/>
      <w:szCs w:val="24"/>
      <w:lang w:val="en-US" w:bidi="ar-SA"/>
    </w:rPr>
  </w:style>
  <w:style w:type="paragraph" w:styleId="af2">
    <w:name w:val="Revision"/>
    <w:hidden/>
    <w:uiPriority w:val="99"/>
    <w:semiHidden/>
    <w:rsid w:val="002B7212"/>
    <w:rPr>
      <w:rFonts w:ascii="宋体" w:eastAsia="宋体" w:hAnsi="宋体" w:cs="宋体"/>
      <w:sz w:val="22"/>
      <w:szCs w:val="22"/>
      <w:lang w:val="zh-CN" w:bidi="zh-CN"/>
    </w:rPr>
  </w:style>
  <w:style w:type="paragraph" w:customStyle="1" w:styleId="p">
    <w:name w:val="p"/>
    <w:basedOn w:val="a"/>
    <w:rsid w:val="00B808AB"/>
    <w:pPr>
      <w:widowControl/>
      <w:autoSpaceDE/>
      <w:autoSpaceDN/>
    </w:pPr>
    <w:rPr>
      <w:sz w:val="24"/>
      <w:szCs w:val="24"/>
      <w:lang w:val="en-US" w:bidi="ar-SA"/>
    </w:rPr>
  </w:style>
  <w:style w:type="paragraph" w:styleId="HTML">
    <w:name w:val="HTML Preformatted"/>
    <w:basedOn w:val="a"/>
    <w:link w:val="HTML0"/>
    <w:qFormat/>
    <w:rsid w:val="00BD7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sz w:val="24"/>
      <w:szCs w:val="21"/>
      <w:lang w:val="en-US" w:bidi="ar-SA"/>
    </w:rPr>
  </w:style>
  <w:style w:type="character" w:customStyle="1" w:styleId="HTML0">
    <w:name w:val="HTML 预设格式 字符"/>
    <w:basedOn w:val="a0"/>
    <w:link w:val="HTML"/>
    <w:rsid w:val="00BD75E5"/>
    <w:rPr>
      <w:rFonts w:ascii="宋体" w:eastAsia="宋体" w:hAnsi="宋体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669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06695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4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33441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3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2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83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75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熊熊的</dc:creator>
  <cp:lastModifiedBy>重 郑</cp:lastModifiedBy>
  <cp:revision>40</cp:revision>
  <cp:lastPrinted>2023-04-21T00:31:00Z</cp:lastPrinted>
  <dcterms:created xsi:type="dcterms:W3CDTF">2024-11-04T10:57:00Z</dcterms:created>
  <dcterms:modified xsi:type="dcterms:W3CDTF">2024-11-05T09:10:00Z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70EC3D1F92224CDCAC21B98EC8CEFE2A</vt:lpwstr>
  </property>
</Properties>
</file>