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5A9E2" w14:textId="77777777" w:rsidR="00A02DAC" w:rsidRDefault="00A02DAC" w:rsidP="00A02DAC">
      <w:pPr>
        <w:jc w:val="left"/>
        <w:rPr>
          <w:sz w:val="24"/>
        </w:rPr>
      </w:pPr>
      <w:r>
        <w:rPr>
          <w:rFonts w:hint="eastAsia"/>
          <w:sz w:val="24"/>
        </w:rPr>
        <w:t>证券代码：</w:t>
      </w:r>
      <w:r>
        <w:rPr>
          <w:rFonts w:hint="eastAsia"/>
          <w:sz w:val="24"/>
        </w:rPr>
        <w:t xml:space="preserve">603908                                  </w:t>
      </w:r>
      <w:r>
        <w:rPr>
          <w:rFonts w:hint="eastAsia"/>
          <w:sz w:val="24"/>
        </w:rPr>
        <w:t>证券简称：</w:t>
      </w:r>
      <w:proofErr w:type="gramStart"/>
      <w:r>
        <w:rPr>
          <w:rFonts w:hint="eastAsia"/>
          <w:sz w:val="24"/>
        </w:rPr>
        <w:t>牧高笛</w:t>
      </w:r>
      <w:proofErr w:type="gramEnd"/>
    </w:p>
    <w:p w14:paraId="74C2F753" w14:textId="77777777" w:rsidR="00A02DAC" w:rsidRDefault="00A02DAC" w:rsidP="00A02DAC">
      <w:pPr>
        <w:jc w:val="left"/>
        <w:rPr>
          <w:sz w:val="24"/>
        </w:rPr>
      </w:pPr>
    </w:p>
    <w:p w14:paraId="76971C24" w14:textId="77777777" w:rsidR="00A02DAC" w:rsidRDefault="00A02DAC" w:rsidP="00A02DAC">
      <w:pPr>
        <w:spacing w:beforeLines="50" w:before="156" w:afterLines="50" w:after="156" w:line="400" w:lineRule="exact"/>
        <w:jc w:val="center"/>
        <w:rPr>
          <w:rFonts w:ascii="宋体" w:hAnsi="宋体" w:hint="eastAsia"/>
          <w:b/>
          <w:bCs/>
          <w:iCs/>
          <w:color w:val="000000"/>
          <w:sz w:val="32"/>
          <w:szCs w:val="32"/>
        </w:rPr>
      </w:pPr>
      <w:proofErr w:type="gramStart"/>
      <w:r>
        <w:rPr>
          <w:rFonts w:ascii="宋体" w:hAnsi="宋体" w:hint="eastAsia"/>
          <w:b/>
          <w:bCs/>
          <w:iCs/>
          <w:color w:val="000000"/>
          <w:sz w:val="32"/>
          <w:szCs w:val="32"/>
        </w:rPr>
        <w:t>牧高笛</w:t>
      </w:r>
      <w:proofErr w:type="gramEnd"/>
      <w:r>
        <w:rPr>
          <w:rFonts w:ascii="宋体" w:hAnsi="宋体" w:hint="eastAsia"/>
          <w:b/>
          <w:bCs/>
          <w:iCs/>
          <w:color w:val="000000"/>
          <w:sz w:val="32"/>
          <w:szCs w:val="32"/>
        </w:rPr>
        <w:t>户外用品股份有限公司</w:t>
      </w:r>
    </w:p>
    <w:p w14:paraId="1E1F8DFC" w14:textId="77777777" w:rsidR="00A02DAC" w:rsidRDefault="00A02DAC" w:rsidP="00A02DAC">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3B96CE98" w14:textId="0FDB62FC" w:rsidR="00A02DAC" w:rsidRDefault="00A02DAC" w:rsidP="00A02DAC">
      <w:pPr>
        <w:spacing w:line="400" w:lineRule="exact"/>
        <w:rPr>
          <w:rFonts w:ascii="宋体" w:hAnsi="宋体" w:hint="eastAsia"/>
          <w:bCs/>
          <w:iCs/>
          <w:color w:val="000000"/>
          <w:sz w:val="24"/>
        </w:rPr>
      </w:pPr>
      <w:r>
        <w:rPr>
          <w:rFonts w:ascii="宋体" w:hAnsi="宋体" w:hint="eastAsia"/>
          <w:bCs/>
          <w:iCs/>
          <w:color w:val="000000"/>
          <w:sz w:val="24"/>
        </w:rPr>
        <w:t xml:space="preserve">                                                       </w:t>
      </w:r>
    </w:p>
    <w:tbl>
      <w:tblPr>
        <w:tblStyle w:val="a6"/>
        <w:tblW w:w="8582" w:type="dxa"/>
        <w:tblLook w:val="04A0" w:firstRow="1" w:lastRow="0" w:firstColumn="1" w:lastColumn="0" w:noHBand="0" w:noVBand="1"/>
      </w:tblPr>
      <w:tblGrid>
        <w:gridCol w:w="1921"/>
        <w:gridCol w:w="6661"/>
      </w:tblGrid>
      <w:tr w:rsidR="00A02DAC" w14:paraId="50BF57D9" w14:textId="77777777" w:rsidTr="00843D47">
        <w:trPr>
          <w:trHeight w:val="1443"/>
        </w:trPr>
        <w:tc>
          <w:tcPr>
            <w:tcW w:w="1921" w:type="dxa"/>
          </w:tcPr>
          <w:p w14:paraId="23807317" w14:textId="77777777" w:rsidR="00A02DAC" w:rsidRDefault="00A02DAC" w:rsidP="00843D47">
            <w:pPr>
              <w:spacing w:line="480" w:lineRule="atLeast"/>
              <w:rPr>
                <w:rFonts w:ascii="宋体" w:hAnsi="宋体" w:hint="eastAsia"/>
                <w:b/>
                <w:bCs/>
                <w:iCs/>
                <w:color w:val="000000"/>
                <w:sz w:val="24"/>
              </w:rPr>
            </w:pPr>
            <w:r>
              <w:rPr>
                <w:rFonts w:ascii="宋体" w:hAnsi="宋体" w:hint="eastAsia"/>
                <w:b/>
                <w:bCs/>
                <w:iCs/>
                <w:color w:val="000000"/>
                <w:sz w:val="24"/>
              </w:rPr>
              <w:t>投资者关系活动类别</w:t>
            </w:r>
          </w:p>
          <w:p w14:paraId="11CBF2FA" w14:textId="77777777" w:rsidR="00A02DAC" w:rsidRDefault="00A02DAC" w:rsidP="00843D47">
            <w:pPr>
              <w:spacing w:line="480" w:lineRule="atLeast"/>
              <w:rPr>
                <w:rFonts w:ascii="宋体" w:hAnsi="宋体" w:hint="eastAsia"/>
                <w:b/>
                <w:bCs/>
                <w:iCs/>
                <w:color w:val="000000"/>
                <w:sz w:val="24"/>
              </w:rPr>
            </w:pPr>
          </w:p>
        </w:tc>
        <w:tc>
          <w:tcPr>
            <w:tcW w:w="6661" w:type="dxa"/>
          </w:tcPr>
          <w:p w14:paraId="58352E72" w14:textId="507AA4DC" w:rsidR="00A02DAC" w:rsidRDefault="00A02DAC" w:rsidP="00843D47">
            <w:pPr>
              <w:spacing w:line="480" w:lineRule="atLeast"/>
              <w:rPr>
                <w:rFonts w:ascii="宋体" w:hAnsi="宋体" w:hint="eastAsia"/>
                <w:sz w:val="24"/>
              </w:rPr>
            </w:pPr>
            <w:r>
              <w:rPr>
                <w:rFonts w:ascii="宋体" w:hAnsi="宋体" w:hint="eastAsia"/>
                <w:sz w:val="24"/>
              </w:rPr>
              <w:t>√现场调研        □电话会议</w:t>
            </w:r>
          </w:p>
          <w:p w14:paraId="0B43AC26" w14:textId="77777777" w:rsidR="00A02DAC" w:rsidRDefault="00A02DAC" w:rsidP="00843D47">
            <w:pPr>
              <w:spacing w:line="480" w:lineRule="atLeast"/>
              <w:rPr>
                <w:rFonts w:ascii="宋体" w:hAnsi="宋体" w:hint="eastAsia"/>
                <w:sz w:val="24"/>
              </w:rPr>
            </w:pPr>
            <w:r>
              <w:rPr>
                <w:rFonts w:ascii="宋体" w:hAnsi="宋体" w:hint="eastAsia"/>
                <w:bCs/>
                <w:iCs/>
                <w:color w:val="000000"/>
                <w:sz w:val="24"/>
              </w:rPr>
              <w:t>□</w:t>
            </w:r>
            <w:r>
              <w:rPr>
                <w:rFonts w:ascii="宋体" w:hAnsi="宋体" w:hint="eastAsia"/>
                <w:sz w:val="24"/>
              </w:rPr>
              <w:t>分析</w:t>
            </w:r>
            <w:proofErr w:type="gramStart"/>
            <w:r>
              <w:rPr>
                <w:rFonts w:ascii="宋体" w:hAnsi="宋体" w:hint="eastAsia"/>
                <w:sz w:val="24"/>
              </w:rPr>
              <w:t>师会议</w:t>
            </w:r>
            <w:proofErr w:type="gramEnd"/>
            <w:r>
              <w:rPr>
                <w:rFonts w:ascii="宋体" w:hAnsi="宋体" w:hint="eastAsia"/>
                <w:sz w:val="24"/>
              </w:rPr>
              <w:t xml:space="preserve"> </w:t>
            </w:r>
            <w:r>
              <w:rPr>
                <w:rFonts w:ascii="宋体" w:hAnsi="宋体"/>
                <w:sz w:val="24"/>
              </w:rPr>
              <w:t xml:space="preserve">     </w:t>
            </w:r>
            <w:r>
              <w:rPr>
                <w:rFonts w:ascii="宋体" w:hAnsi="宋体" w:hint="eastAsia"/>
                <w:bCs/>
                <w:iCs/>
                <w:color w:val="000000"/>
                <w:sz w:val="24"/>
              </w:rPr>
              <w:t>□</w:t>
            </w:r>
            <w:r>
              <w:rPr>
                <w:rFonts w:ascii="宋体" w:hAnsi="宋体" w:hint="eastAsia"/>
                <w:sz w:val="24"/>
              </w:rPr>
              <w:t xml:space="preserve">业绩说明会 </w:t>
            </w:r>
            <w:r>
              <w:rPr>
                <w:rFonts w:ascii="宋体" w:hAnsi="宋体"/>
                <w:sz w:val="24"/>
              </w:rPr>
              <w:t xml:space="preserve">         </w:t>
            </w:r>
          </w:p>
          <w:p w14:paraId="3E2FF463" w14:textId="77777777" w:rsidR="00A02DAC" w:rsidRDefault="00A02DAC" w:rsidP="00843D47">
            <w:pPr>
              <w:spacing w:line="480" w:lineRule="atLeast"/>
              <w:rPr>
                <w:rFonts w:ascii="宋体" w:hAnsi="宋体" w:hint="eastAsia"/>
                <w:sz w:val="24"/>
              </w:rPr>
            </w:pPr>
            <w:r>
              <w:rPr>
                <w:rFonts w:ascii="宋体" w:hAnsi="宋体" w:hint="eastAsia"/>
                <w:bCs/>
                <w:iCs/>
                <w:color w:val="000000"/>
                <w:sz w:val="24"/>
              </w:rPr>
              <w:t>□</w:t>
            </w:r>
            <w:r>
              <w:rPr>
                <w:rFonts w:ascii="宋体" w:hAnsi="宋体" w:hint="eastAsia"/>
                <w:sz w:val="24"/>
              </w:rPr>
              <w:t>路演活动</w:t>
            </w:r>
            <w:r>
              <w:rPr>
                <w:rFonts w:ascii="宋体" w:hAnsi="宋体"/>
                <w:bCs/>
                <w:iCs/>
                <w:color w:val="000000"/>
                <w:sz w:val="24"/>
              </w:rPr>
              <w:tab/>
            </w: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sz w:val="24"/>
              </w:rPr>
              <w:t xml:space="preserve">□其他 </w:t>
            </w:r>
          </w:p>
        </w:tc>
      </w:tr>
      <w:tr w:rsidR="00A02DAC" w14:paraId="5045B993" w14:textId="77777777" w:rsidTr="00843D47">
        <w:trPr>
          <w:trHeight w:val="1158"/>
        </w:trPr>
        <w:tc>
          <w:tcPr>
            <w:tcW w:w="1921" w:type="dxa"/>
          </w:tcPr>
          <w:p w14:paraId="579A1086" w14:textId="77777777" w:rsidR="00A02DAC" w:rsidRDefault="00A02DAC" w:rsidP="00843D47">
            <w:pPr>
              <w:spacing w:line="480" w:lineRule="atLeast"/>
              <w:rPr>
                <w:rFonts w:ascii="宋体" w:hAnsi="宋体" w:hint="eastAsia"/>
                <w:b/>
                <w:bCs/>
                <w:iCs/>
                <w:color w:val="000000"/>
                <w:sz w:val="24"/>
              </w:rPr>
            </w:pPr>
            <w:r>
              <w:rPr>
                <w:rFonts w:ascii="宋体" w:hAnsi="宋体" w:hint="eastAsia"/>
                <w:b/>
                <w:bCs/>
                <w:iCs/>
                <w:color w:val="000000"/>
                <w:sz w:val="24"/>
              </w:rPr>
              <w:t>参与单位名称及人员姓名</w:t>
            </w:r>
          </w:p>
        </w:tc>
        <w:tc>
          <w:tcPr>
            <w:tcW w:w="6661" w:type="dxa"/>
            <w:vAlign w:val="center"/>
          </w:tcPr>
          <w:p w14:paraId="4C78C5B6" w14:textId="4C529919" w:rsidR="00A02DAC" w:rsidRDefault="00A02DAC" w:rsidP="00843D47">
            <w:pPr>
              <w:rPr>
                <w:sz w:val="24"/>
              </w:rPr>
            </w:pPr>
            <w:r w:rsidRPr="00A3488A">
              <w:rPr>
                <w:rFonts w:hint="eastAsia"/>
                <w:sz w:val="24"/>
              </w:rPr>
              <w:t>广发证券</w:t>
            </w:r>
            <w:r>
              <w:rPr>
                <w:rFonts w:hint="eastAsia"/>
                <w:sz w:val="24"/>
              </w:rPr>
              <w:t xml:space="preserve"> </w:t>
            </w:r>
            <w:proofErr w:type="gramStart"/>
            <w:r w:rsidRPr="00A3488A">
              <w:rPr>
                <w:rFonts w:hint="eastAsia"/>
                <w:sz w:val="24"/>
              </w:rPr>
              <w:t>糜</w:t>
            </w:r>
            <w:proofErr w:type="gramEnd"/>
            <w:r w:rsidRPr="00A3488A">
              <w:rPr>
                <w:rFonts w:hint="eastAsia"/>
                <w:sz w:val="24"/>
              </w:rPr>
              <w:t>韩杰</w:t>
            </w:r>
            <w:r>
              <w:rPr>
                <w:rFonts w:hint="eastAsia"/>
                <w:sz w:val="24"/>
              </w:rPr>
              <w:t>、</w:t>
            </w:r>
            <w:r w:rsidRPr="00A02DAC">
              <w:rPr>
                <w:rFonts w:hint="eastAsia"/>
                <w:sz w:val="24"/>
              </w:rPr>
              <w:t>国泰基金</w:t>
            </w:r>
            <w:r>
              <w:rPr>
                <w:rFonts w:hint="eastAsia"/>
                <w:sz w:val="24"/>
              </w:rPr>
              <w:t xml:space="preserve"> </w:t>
            </w:r>
            <w:r w:rsidRPr="00A02DAC">
              <w:rPr>
                <w:rFonts w:hint="eastAsia"/>
                <w:sz w:val="24"/>
              </w:rPr>
              <w:t>孙雪婧</w:t>
            </w:r>
          </w:p>
        </w:tc>
      </w:tr>
      <w:tr w:rsidR="00A02DAC" w14:paraId="2B001FB4" w14:textId="77777777" w:rsidTr="00843D47">
        <w:trPr>
          <w:trHeight w:val="570"/>
        </w:trPr>
        <w:tc>
          <w:tcPr>
            <w:tcW w:w="1921" w:type="dxa"/>
          </w:tcPr>
          <w:p w14:paraId="1DED09CE" w14:textId="77777777" w:rsidR="00A02DAC" w:rsidRDefault="00A02DAC" w:rsidP="00843D47">
            <w:pPr>
              <w:spacing w:line="480" w:lineRule="atLeast"/>
              <w:rPr>
                <w:rFonts w:ascii="宋体" w:hAnsi="宋体" w:hint="eastAsia"/>
                <w:b/>
                <w:bCs/>
                <w:iCs/>
                <w:color w:val="000000"/>
                <w:sz w:val="24"/>
              </w:rPr>
            </w:pPr>
            <w:r>
              <w:rPr>
                <w:rFonts w:ascii="宋体" w:hAnsi="宋体" w:hint="eastAsia"/>
                <w:b/>
                <w:bCs/>
                <w:iCs/>
                <w:color w:val="000000"/>
                <w:sz w:val="24"/>
              </w:rPr>
              <w:t>时间</w:t>
            </w:r>
          </w:p>
        </w:tc>
        <w:tc>
          <w:tcPr>
            <w:tcW w:w="6661" w:type="dxa"/>
            <w:vAlign w:val="center"/>
          </w:tcPr>
          <w:p w14:paraId="299DEFAA" w14:textId="7ABE998A" w:rsidR="00A02DAC" w:rsidRDefault="00A02DAC" w:rsidP="00843D47">
            <w:pPr>
              <w:spacing w:line="480" w:lineRule="atLeast"/>
              <w:rPr>
                <w:rFonts w:ascii="宋体" w:hAnsi="宋体" w:hint="eastAsia"/>
                <w:bCs/>
                <w:iCs/>
                <w:color w:val="000000"/>
                <w:sz w:val="24"/>
              </w:rPr>
            </w:pPr>
            <w:r>
              <w:rPr>
                <w:rFonts w:ascii="宋体" w:hAnsi="宋体" w:hint="eastAsia"/>
                <w:bCs/>
                <w:iCs/>
                <w:color w:val="000000"/>
                <w:sz w:val="24"/>
              </w:rPr>
              <w:t>2024年</w:t>
            </w:r>
            <w:r>
              <w:rPr>
                <w:rFonts w:ascii="宋体" w:hAnsi="宋体" w:hint="eastAsia"/>
                <w:bCs/>
                <w:iCs/>
                <w:color w:val="000000"/>
                <w:sz w:val="24"/>
              </w:rPr>
              <w:t>11</w:t>
            </w:r>
            <w:r>
              <w:rPr>
                <w:rFonts w:ascii="宋体" w:hAnsi="宋体" w:hint="eastAsia"/>
                <w:bCs/>
                <w:iCs/>
                <w:color w:val="000000"/>
                <w:sz w:val="24"/>
              </w:rPr>
              <w:t>月</w:t>
            </w:r>
            <w:r>
              <w:rPr>
                <w:rFonts w:ascii="宋体" w:hAnsi="宋体" w:hint="eastAsia"/>
                <w:bCs/>
                <w:iCs/>
                <w:color w:val="000000"/>
                <w:sz w:val="24"/>
              </w:rPr>
              <w:t>6</w:t>
            </w:r>
            <w:r>
              <w:rPr>
                <w:rFonts w:ascii="宋体" w:hAnsi="宋体" w:hint="eastAsia"/>
                <w:bCs/>
                <w:iCs/>
                <w:color w:val="000000"/>
                <w:sz w:val="24"/>
              </w:rPr>
              <w:t>日</w:t>
            </w:r>
            <w:r>
              <w:rPr>
                <w:rFonts w:ascii="宋体" w:hAnsi="宋体" w:hint="eastAsia"/>
                <w:bCs/>
                <w:iCs/>
                <w:color w:val="000000"/>
                <w:sz w:val="24"/>
              </w:rPr>
              <w:t>下</w:t>
            </w:r>
            <w:r>
              <w:rPr>
                <w:rFonts w:ascii="宋体" w:hAnsi="宋体" w:hint="eastAsia"/>
                <w:bCs/>
                <w:iCs/>
                <w:color w:val="000000"/>
                <w:sz w:val="24"/>
              </w:rPr>
              <w:t>午</w:t>
            </w:r>
            <w:r>
              <w:rPr>
                <w:rFonts w:ascii="宋体" w:hAnsi="宋体"/>
                <w:bCs/>
                <w:iCs/>
                <w:color w:val="000000"/>
                <w:sz w:val="24"/>
              </w:rPr>
              <w:t>1</w:t>
            </w:r>
            <w:r>
              <w:rPr>
                <w:rFonts w:ascii="宋体" w:hAnsi="宋体" w:hint="eastAsia"/>
                <w:bCs/>
                <w:iCs/>
                <w:color w:val="000000"/>
                <w:sz w:val="24"/>
              </w:rPr>
              <w:t>3</w:t>
            </w:r>
            <w:r>
              <w:rPr>
                <w:rFonts w:ascii="宋体" w:hAnsi="宋体"/>
                <w:bCs/>
                <w:iCs/>
                <w:color w:val="000000"/>
                <w:sz w:val="24"/>
              </w:rPr>
              <w:t>:</w:t>
            </w:r>
            <w:r>
              <w:rPr>
                <w:rFonts w:ascii="宋体" w:hAnsi="宋体" w:hint="eastAsia"/>
                <w:bCs/>
                <w:iCs/>
                <w:color w:val="000000"/>
                <w:sz w:val="24"/>
              </w:rPr>
              <w:t>3</w:t>
            </w:r>
            <w:r>
              <w:rPr>
                <w:rFonts w:ascii="宋体" w:hAnsi="宋体"/>
                <w:bCs/>
                <w:iCs/>
                <w:color w:val="000000"/>
                <w:sz w:val="24"/>
              </w:rPr>
              <w:t>0-1</w:t>
            </w:r>
            <w:r>
              <w:rPr>
                <w:rFonts w:ascii="宋体" w:hAnsi="宋体" w:hint="eastAsia"/>
                <w:bCs/>
                <w:iCs/>
                <w:color w:val="000000"/>
                <w:sz w:val="24"/>
              </w:rPr>
              <w:t>4</w:t>
            </w:r>
            <w:r>
              <w:rPr>
                <w:rFonts w:ascii="宋体" w:hAnsi="宋体" w:hint="eastAsia"/>
                <w:bCs/>
                <w:iCs/>
                <w:color w:val="000000"/>
                <w:sz w:val="24"/>
              </w:rPr>
              <w:t>:</w:t>
            </w:r>
            <w:r>
              <w:rPr>
                <w:rFonts w:ascii="宋体" w:hAnsi="宋体" w:hint="eastAsia"/>
                <w:bCs/>
                <w:iCs/>
                <w:color w:val="000000"/>
                <w:sz w:val="24"/>
              </w:rPr>
              <w:t>3</w:t>
            </w:r>
            <w:r>
              <w:rPr>
                <w:rFonts w:ascii="宋体" w:hAnsi="宋体"/>
                <w:bCs/>
                <w:iCs/>
                <w:color w:val="000000"/>
                <w:sz w:val="24"/>
              </w:rPr>
              <w:t>0</w:t>
            </w:r>
          </w:p>
        </w:tc>
      </w:tr>
      <w:tr w:rsidR="00A02DAC" w14:paraId="1803B1F0" w14:textId="77777777" w:rsidTr="00843D47">
        <w:trPr>
          <w:trHeight w:val="570"/>
        </w:trPr>
        <w:tc>
          <w:tcPr>
            <w:tcW w:w="1921" w:type="dxa"/>
          </w:tcPr>
          <w:p w14:paraId="3ECD1927" w14:textId="77777777" w:rsidR="00A02DAC" w:rsidRDefault="00A02DAC" w:rsidP="00843D47">
            <w:pPr>
              <w:spacing w:line="480" w:lineRule="atLeast"/>
              <w:rPr>
                <w:rFonts w:ascii="宋体" w:hAnsi="宋体" w:hint="eastAsia"/>
                <w:b/>
                <w:bCs/>
                <w:iCs/>
                <w:color w:val="000000"/>
                <w:sz w:val="24"/>
              </w:rPr>
            </w:pPr>
            <w:r>
              <w:rPr>
                <w:rFonts w:ascii="宋体" w:hAnsi="宋体" w:hint="eastAsia"/>
                <w:b/>
                <w:bCs/>
                <w:iCs/>
                <w:color w:val="000000"/>
                <w:sz w:val="24"/>
              </w:rPr>
              <w:t>地点</w:t>
            </w:r>
          </w:p>
        </w:tc>
        <w:tc>
          <w:tcPr>
            <w:tcW w:w="6661" w:type="dxa"/>
            <w:vAlign w:val="center"/>
          </w:tcPr>
          <w:p w14:paraId="5D4AC20F" w14:textId="77777777" w:rsidR="00A02DAC" w:rsidRDefault="00A02DAC" w:rsidP="00843D47">
            <w:pPr>
              <w:spacing w:line="480" w:lineRule="atLeast"/>
              <w:rPr>
                <w:rFonts w:ascii="宋体" w:hAnsi="宋体" w:hint="eastAsia"/>
                <w:bCs/>
                <w:iCs/>
                <w:color w:val="000000"/>
                <w:sz w:val="24"/>
              </w:rPr>
            </w:pPr>
            <w:proofErr w:type="gramStart"/>
            <w:r>
              <w:rPr>
                <w:rFonts w:ascii="宋体" w:hAnsi="宋体" w:hint="eastAsia"/>
                <w:bCs/>
                <w:iCs/>
                <w:color w:val="000000"/>
                <w:sz w:val="24"/>
              </w:rPr>
              <w:t>牧高笛</w:t>
            </w:r>
            <w:proofErr w:type="gramEnd"/>
          </w:p>
        </w:tc>
      </w:tr>
      <w:tr w:rsidR="00A02DAC" w14:paraId="4A828D3F" w14:textId="77777777" w:rsidTr="00843D47">
        <w:trPr>
          <w:trHeight w:val="910"/>
        </w:trPr>
        <w:tc>
          <w:tcPr>
            <w:tcW w:w="1921" w:type="dxa"/>
          </w:tcPr>
          <w:p w14:paraId="60CDFAA9" w14:textId="77777777" w:rsidR="00A02DAC" w:rsidRDefault="00A02DAC" w:rsidP="00843D47">
            <w:pPr>
              <w:spacing w:line="480" w:lineRule="atLeast"/>
              <w:rPr>
                <w:rFonts w:ascii="宋体" w:hAnsi="宋体" w:hint="eastAsia"/>
                <w:b/>
                <w:bCs/>
                <w:iCs/>
                <w:color w:val="000000"/>
                <w:sz w:val="24"/>
              </w:rPr>
            </w:pPr>
            <w:r>
              <w:rPr>
                <w:rFonts w:ascii="宋体" w:hAnsi="宋体" w:hint="eastAsia"/>
                <w:b/>
                <w:bCs/>
                <w:iCs/>
                <w:color w:val="000000"/>
                <w:sz w:val="24"/>
              </w:rPr>
              <w:t>上市公司接待人员姓名</w:t>
            </w:r>
          </w:p>
        </w:tc>
        <w:tc>
          <w:tcPr>
            <w:tcW w:w="6661" w:type="dxa"/>
            <w:vAlign w:val="center"/>
          </w:tcPr>
          <w:p w14:paraId="40BA6A08" w14:textId="46796CCB" w:rsidR="00A02DAC" w:rsidRDefault="00A02DAC" w:rsidP="00843D47">
            <w:pPr>
              <w:spacing w:line="480" w:lineRule="atLeast"/>
              <w:rPr>
                <w:rFonts w:ascii="宋体" w:hAnsi="宋体" w:hint="eastAsia"/>
                <w:bCs/>
                <w:iCs/>
                <w:color w:val="000000"/>
                <w:sz w:val="24"/>
              </w:rPr>
            </w:pPr>
            <w:r>
              <w:rPr>
                <w:rFonts w:ascii="宋体" w:hAnsi="宋体" w:hint="eastAsia"/>
                <w:bCs/>
                <w:iCs/>
                <w:color w:val="000000"/>
                <w:sz w:val="24"/>
              </w:rPr>
              <w:t>董事会秘书</w:t>
            </w:r>
            <w:r>
              <w:rPr>
                <w:rFonts w:ascii="宋体" w:hAnsi="宋体" w:hint="eastAsia"/>
                <w:bCs/>
                <w:iCs/>
                <w:color w:val="000000"/>
                <w:sz w:val="24"/>
              </w:rPr>
              <w:t xml:space="preserve"> 尹温杰</w:t>
            </w:r>
          </w:p>
        </w:tc>
      </w:tr>
      <w:tr w:rsidR="00A02DAC" w14:paraId="256597C6" w14:textId="77777777" w:rsidTr="00843D47">
        <w:trPr>
          <w:trHeight w:val="416"/>
        </w:trPr>
        <w:tc>
          <w:tcPr>
            <w:tcW w:w="1921" w:type="dxa"/>
            <w:vAlign w:val="center"/>
          </w:tcPr>
          <w:p w14:paraId="0D7189A6" w14:textId="77777777" w:rsidR="00A02DAC" w:rsidRDefault="00A02DAC" w:rsidP="00843D47">
            <w:pPr>
              <w:spacing w:line="480" w:lineRule="atLeast"/>
              <w:rPr>
                <w:rFonts w:ascii="宋体" w:hAnsi="宋体" w:hint="eastAsia"/>
                <w:b/>
                <w:bCs/>
                <w:iCs/>
                <w:color w:val="000000"/>
                <w:sz w:val="24"/>
              </w:rPr>
            </w:pPr>
            <w:r>
              <w:rPr>
                <w:rFonts w:ascii="宋体" w:hAnsi="宋体" w:hint="eastAsia"/>
                <w:b/>
                <w:bCs/>
                <w:iCs/>
                <w:color w:val="000000"/>
                <w:sz w:val="24"/>
              </w:rPr>
              <w:t>投资者关系活动主要内容介绍</w:t>
            </w:r>
          </w:p>
          <w:p w14:paraId="57BA5E06" w14:textId="77777777" w:rsidR="00A02DAC" w:rsidRDefault="00A02DAC" w:rsidP="00843D47">
            <w:pPr>
              <w:spacing w:line="480" w:lineRule="atLeast"/>
              <w:rPr>
                <w:rFonts w:ascii="宋体" w:hAnsi="宋体" w:hint="eastAsia"/>
                <w:b/>
                <w:bCs/>
                <w:iCs/>
                <w:color w:val="000000"/>
                <w:sz w:val="24"/>
              </w:rPr>
            </w:pPr>
          </w:p>
        </w:tc>
        <w:tc>
          <w:tcPr>
            <w:tcW w:w="6661" w:type="dxa"/>
          </w:tcPr>
          <w:p w14:paraId="23B5F947" w14:textId="77777777" w:rsidR="00A02DAC" w:rsidRPr="00A02DAC" w:rsidRDefault="00A02DAC" w:rsidP="00843D47">
            <w:pPr>
              <w:spacing w:line="276" w:lineRule="auto"/>
              <w:rPr>
                <w:rFonts w:hint="eastAsia"/>
                <w:sz w:val="24"/>
              </w:rPr>
            </w:pPr>
            <w:r w:rsidRPr="00A02DAC">
              <w:rPr>
                <w:rFonts w:hint="eastAsia"/>
                <w:sz w:val="24"/>
              </w:rPr>
              <w:t>投资者交流主要内容：</w:t>
            </w:r>
          </w:p>
          <w:p w14:paraId="1728DE41" w14:textId="38336ED7" w:rsidR="00A02DAC" w:rsidRPr="00A02DAC" w:rsidRDefault="00A02DAC" w:rsidP="00843D47">
            <w:pPr>
              <w:spacing w:line="276" w:lineRule="auto"/>
              <w:rPr>
                <w:rFonts w:hint="eastAsia"/>
                <w:sz w:val="24"/>
              </w:rPr>
            </w:pPr>
            <w:r w:rsidRPr="00A02DAC">
              <w:rPr>
                <w:rFonts w:hint="eastAsia"/>
                <w:sz w:val="24"/>
              </w:rPr>
              <w:t>一、公司</w:t>
            </w:r>
            <w:r w:rsidR="002D7999">
              <w:rPr>
                <w:rFonts w:hint="eastAsia"/>
                <w:sz w:val="24"/>
              </w:rPr>
              <w:t>业务</w:t>
            </w:r>
            <w:r w:rsidRPr="00A02DAC">
              <w:rPr>
                <w:rFonts w:hint="eastAsia"/>
                <w:sz w:val="24"/>
              </w:rPr>
              <w:t>介绍</w:t>
            </w:r>
          </w:p>
          <w:p w14:paraId="636E292A" w14:textId="77777777" w:rsidR="00A02DAC" w:rsidRPr="00A02DAC" w:rsidRDefault="00A02DAC" w:rsidP="00A02DAC">
            <w:pPr>
              <w:spacing w:line="276" w:lineRule="auto"/>
              <w:ind w:firstLineChars="200" w:firstLine="480"/>
              <w:rPr>
                <w:rFonts w:hint="eastAsia"/>
                <w:sz w:val="24"/>
              </w:rPr>
            </w:pPr>
            <w:r w:rsidRPr="00A02DAC">
              <w:rPr>
                <w:rFonts w:hint="eastAsia"/>
                <w:sz w:val="24"/>
              </w:rPr>
              <w:t>公司核心业务包括自主原创品牌与</w:t>
            </w:r>
            <w:r w:rsidRPr="00A02DAC">
              <w:rPr>
                <w:rFonts w:hint="eastAsia"/>
                <w:sz w:val="24"/>
              </w:rPr>
              <w:t>OEM/ODM</w:t>
            </w:r>
            <w:r w:rsidRPr="00A02DAC">
              <w:rPr>
                <w:rFonts w:hint="eastAsia"/>
                <w:sz w:val="24"/>
              </w:rPr>
              <w:t>专业制造两大支柱业务。</w:t>
            </w:r>
          </w:p>
          <w:p w14:paraId="6BEB185E" w14:textId="77777777" w:rsidR="00A02DAC" w:rsidRPr="00A02DAC" w:rsidRDefault="00A02DAC" w:rsidP="00A02DAC">
            <w:pPr>
              <w:spacing w:line="276" w:lineRule="auto"/>
              <w:ind w:firstLineChars="200" w:firstLine="480"/>
              <w:rPr>
                <w:rFonts w:hint="eastAsia"/>
                <w:sz w:val="24"/>
              </w:rPr>
            </w:pPr>
            <w:r w:rsidRPr="00A02DAC">
              <w:rPr>
                <w:rFonts w:hint="eastAsia"/>
                <w:sz w:val="24"/>
              </w:rPr>
              <w:t>品牌业务以国内市场为主，创立于</w:t>
            </w:r>
            <w:r w:rsidRPr="00A02DAC">
              <w:rPr>
                <w:rFonts w:hint="eastAsia"/>
                <w:sz w:val="24"/>
              </w:rPr>
              <w:t>2003</w:t>
            </w:r>
            <w:r w:rsidRPr="00A02DAC">
              <w:rPr>
                <w:rFonts w:hint="eastAsia"/>
                <w:sz w:val="24"/>
              </w:rPr>
              <w:t>年，牧高笛</w:t>
            </w:r>
            <w:r w:rsidRPr="00A02DAC">
              <w:rPr>
                <w:rFonts w:hint="eastAsia"/>
                <w:sz w:val="24"/>
              </w:rPr>
              <w:t>MOBI GARDEN</w:t>
            </w:r>
            <w:r w:rsidRPr="00A02DAC">
              <w:rPr>
                <w:rFonts w:hint="eastAsia"/>
                <w:sz w:val="24"/>
              </w:rPr>
              <w:t>，作为中国领先的露营与徒步登山品牌，以中国横断山脉为依托打造属于中国的硬核户外品牌。从</w:t>
            </w:r>
            <w:r w:rsidRPr="00A02DAC">
              <w:rPr>
                <w:rFonts w:hint="eastAsia"/>
                <w:sz w:val="24"/>
              </w:rPr>
              <w:t xml:space="preserve">2003 </w:t>
            </w:r>
            <w:r w:rsidRPr="00A02DAC">
              <w:rPr>
                <w:rFonts w:hint="eastAsia"/>
                <w:sz w:val="24"/>
              </w:rPr>
              <w:t>年“冷山”徒步帐篷开始，牧高笛便以徒步登山露营装备和服饰闻名，品牌始终秉承“以人为本”的开发理念，致力于为消费者提供舒适、高品质和高性能的户外装备，推出了性能卓越的超级品类，并不断推动创新，覆盖多元化户外场景，以实现商业化和大众化普及，进一步推动中国户外产业的发展。作为全新户外生活方式的倡导者，牧高笛亦坚持“向野而生”的品牌理念，激励当代年轻人探索山野，寻找自我成长的力量。山野，是更真实的世界；山野的我，是更真实的自己；探索山野，寻找自我成长的力量。</w:t>
            </w:r>
          </w:p>
          <w:p w14:paraId="30B17A1A" w14:textId="3512C848" w:rsidR="00A02DAC" w:rsidRPr="00A02DAC" w:rsidRDefault="00A02DAC" w:rsidP="00A02DAC">
            <w:pPr>
              <w:spacing w:line="276" w:lineRule="auto"/>
              <w:ind w:firstLineChars="200" w:firstLine="480"/>
              <w:rPr>
                <w:sz w:val="24"/>
              </w:rPr>
            </w:pPr>
            <w:r w:rsidRPr="00A02DAC">
              <w:rPr>
                <w:rFonts w:hint="eastAsia"/>
                <w:sz w:val="24"/>
              </w:rPr>
              <w:t>OEM/ODM</w:t>
            </w:r>
            <w:r w:rsidRPr="00A02DAC">
              <w:rPr>
                <w:rFonts w:hint="eastAsia"/>
                <w:sz w:val="24"/>
              </w:rPr>
              <w:t>业务为全球客户提供高品质户外产品的开发设计和生产制造服务，产品远销欧洲、澳大利亚、新西兰、亚洲和美国等国际市场。</w:t>
            </w:r>
          </w:p>
          <w:p w14:paraId="346DB524" w14:textId="77777777" w:rsidR="00A02DAC" w:rsidRPr="00A02DAC" w:rsidRDefault="00A02DAC" w:rsidP="00843D47">
            <w:pPr>
              <w:spacing w:line="276" w:lineRule="auto"/>
              <w:ind w:firstLineChars="200" w:firstLine="480"/>
              <w:rPr>
                <w:rFonts w:hint="eastAsia"/>
                <w:sz w:val="24"/>
              </w:rPr>
            </w:pPr>
          </w:p>
          <w:p w14:paraId="59F9519C" w14:textId="77777777" w:rsidR="00A02DAC" w:rsidRPr="00A02DAC" w:rsidRDefault="00A02DAC" w:rsidP="00843D47">
            <w:pPr>
              <w:spacing w:line="276" w:lineRule="auto"/>
              <w:rPr>
                <w:rFonts w:hint="eastAsia"/>
                <w:sz w:val="24"/>
              </w:rPr>
            </w:pPr>
            <w:r w:rsidRPr="00A02DAC">
              <w:rPr>
                <w:rFonts w:hint="eastAsia"/>
                <w:sz w:val="24"/>
              </w:rPr>
              <w:lastRenderedPageBreak/>
              <w:t>二、问答环节</w:t>
            </w:r>
          </w:p>
          <w:p w14:paraId="424C098A" w14:textId="533AFCC7" w:rsidR="00A02DAC" w:rsidRPr="00A02DAC" w:rsidRDefault="00A02DAC" w:rsidP="00A02DAC">
            <w:pPr>
              <w:ind w:firstLineChars="200" w:firstLine="480"/>
              <w:rPr>
                <w:sz w:val="24"/>
              </w:rPr>
            </w:pPr>
            <w:r w:rsidRPr="000B6A8E">
              <w:rPr>
                <w:rFonts w:hint="eastAsia"/>
                <w:sz w:val="24"/>
              </w:rPr>
              <w:t>Q</w:t>
            </w:r>
            <w:r w:rsidRPr="00A02DAC">
              <w:rPr>
                <w:rFonts w:hint="eastAsia"/>
                <w:sz w:val="24"/>
              </w:rPr>
              <w:t>1</w:t>
            </w:r>
            <w:r>
              <w:rPr>
                <w:rFonts w:hint="eastAsia"/>
                <w:sz w:val="24"/>
              </w:rPr>
              <w:t>、</w:t>
            </w:r>
            <w:r w:rsidRPr="00A02DAC">
              <w:rPr>
                <w:rFonts w:hint="eastAsia"/>
                <w:sz w:val="24"/>
              </w:rPr>
              <w:t>请介绍下公司组织架构和机制</w:t>
            </w:r>
            <w:r w:rsidR="002D7999">
              <w:rPr>
                <w:rFonts w:hint="eastAsia"/>
                <w:sz w:val="24"/>
              </w:rPr>
              <w:t>？</w:t>
            </w:r>
          </w:p>
          <w:p w14:paraId="7A16D0B7" w14:textId="2FADCBDB" w:rsidR="00A02DAC" w:rsidRPr="00A02DAC" w:rsidRDefault="00A02DAC" w:rsidP="00A02DAC">
            <w:pPr>
              <w:ind w:firstLineChars="200" w:firstLine="480"/>
              <w:rPr>
                <w:sz w:val="24"/>
              </w:rPr>
            </w:pPr>
            <w:r w:rsidRPr="00A02DAC">
              <w:rPr>
                <w:rFonts w:hint="eastAsia"/>
                <w:sz w:val="24"/>
              </w:rPr>
              <w:t>公司已按照法律法规建立健全了三会一层的治理架构和监督有效的内控制度。公司在产品、品牌、渠道、运营等方面组建了核心经营管理团队，具有丰富的从业经验和专业能力，公司持续健全人才培育、引进、考核和激励机制。</w:t>
            </w:r>
          </w:p>
          <w:p w14:paraId="5851F7A9" w14:textId="77777777" w:rsidR="00A02DAC" w:rsidRPr="00A02DAC" w:rsidRDefault="00A02DAC" w:rsidP="00A02DAC">
            <w:pPr>
              <w:ind w:firstLineChars="200" w:firstLine="480"/>
              <w:rPr>
                <w:rFonts w:hint="eastAsia"/>
                <w:sz w:val="24"/>
              </w:rPr>
            </w:pPr>
          </w:p>
          <w:p w14:paraId="5B96FFE9" w14:textId="282FF79D" w:rsidR="00A02DAC" w:rsidRPr="00A02DAC" w:rsidRDefault="00A02DAC" w:rsidP="00A02DAC">
            <w:pPr>
              <w:ind w:firstLineChars="200" w:firstLine="480"/>
              <w:rPr>
                <w:sz w:val="24"/>
              </w:rPr>
            </w:pPr>
            <w:r w:rsidRPr="000B6A8E">
              <w:rPr>
                <w:rFonts w:hint="eastAsia"/>
                <w:sz w:val="24"/>
              </w:rPr>
              <w:t>Q</w:t>
            </w:r>
            <w:r w:rsidRPr="00A02DAC">
              <w:rPr>
                <w:rFonts w:hint="eastAsia"/>
                <w:sz w:val="24"/>
              </w:rPr>
              <w:t>2</w:t>
            </w:r>
            <w:r>
              <w:rPr>
                <w:rFonts w:hint="eastAsia"/>
                <w:sz w:val="24"/>
              </w:rPr>
              <w:t>、</w:t>
            </w:r>
            <w:r w:rsidRPr="00A02DAC">
              <w:rPr>
                <w:rFonts w:hint="eastAsia"/>
                <w:sz w:val="24"/>
              </w:rPr>
              <w:t>请介绍下公司的产品体系</w:t>
            </w:r>
            <w:r w:rsidR="002D7999">
              <w:rPr>
                <w:rFonts w:hint="eastAsia"/>
                <w:sz w:val="24"/>
              </w:rPr>
              <w:t>？</w:t>
            </w:r>
          </w:p>
          <w:p w14:paraId="4AE46E9A" w14:textId="77777777" w:rsidR="00A02DAC" w:rsidRPr="00A02DAC" w:rsidRDefault="00A02DAC" w:rsidP="00A02DAC">
            <w:pPr>
              <w:ind w:firstLineChars="200" w:firstLine="480"/>
              <w:rPr>
                <w:rFonts w:hint="eastAsia"/>
                <w:sz w:val="24"/>
              </w:rPr>
            </w:pPr>
            <w:r w:rsidRPr="00A02DAC">
              <w:rPr>
                <w:rFonts w:hint="eastAsia"/>
                <w:sz w:val="24"/>
              </w:rPr>
              <w:t>今年牧高笛的产品线迎来全面升级，通过推出以“冷山”为核心的徒步登山产品系列，以及与全球领先的科技面料品牌合作，为消费者打造户外运动全场景整体解决方案。</w:t>
            </w:r>
          </w:p>
          <w:p w14:paraId="3873E56F" w14:textId="77777777" w:rsidR="00A02DAC" w:rsidRPr="00A02DAC" w:rsidRDefault="00A02DAC" w:rsidP="00A02DAC">
            <w:pPr>
              <w:ind w:firstLineChars="200" w:firstLine="480"/>
              <w:rPr>
                <w:rFonts w:hint="eastAsia"/>
                <w:sz w:val="24"/>
              </w:rPr>
            </w:pPr>
            <w:r w:rsidRPr="00A02DAC">
              <w:rPr>
                <w:rFonts w:hint="eastAsia"/>
                <w:sz w:val="24"/>
              </w:rPr>
              <w:t>从露营到徒步登山，牧高笛势能产品矩阵覆盖各个场景，通过研发设计团队的不断打磨并与户外玩家的持续共创下，相继推出适应高海拔营地场景、高海拔雪线徒步、轻量化长距离徒步的高性能装备及服装。</w:t>
            </w:r>
          </w:p>
          <w:p w14:paraId="5135A4D8" w14:textId="77777777" w:rsidR="00A02DAC" w:rsidRPr="00A02DAC" w:rsidRDefault="00A02DAC" w:rsidP="00A02DAC">
            <w:pPr>
              <w:ind w:firstLineChars="200" w:firstLine="480"/>
              <w:rPr>
                <w:sz w:val="24"/>
              </w:rPr>
            </w:pPr>
            <w:r w:rsidRPr="00A02DAC">
              <w:rPr>
                <w:rFonts w:hint="eastAsia"/>
                <w:sz w:val="24"/>
              </w:rPr>
              <w:t>产品矩阵围绕三大核心类目展开：睡眠系统、背负系统</w:t>
            </w:r>
            <w:proofErr w:type="gramStart"/>
            <w:r w:rsidRPr="00A02DAC">
              <w:rPr>
                <w:rFonts w:hint="eastAsia"/>
                <w:sz w:val="24"/>
              </w:rPr>
              <w:t>及穿搭系统</w:t>
            </w:r>
            <w:proofErr w:type="gramEnd"/>
            <w:r w:rsidRPr="00A02DAC">
              <w:rPr>
                <w:rFonts w:hint="eastAsia"/>
                <w:sz w:val="24"/>
              </w:rPr>
              <w:t>。</w:t>
            </w:r>
          </w:p>
          <w:p w14:paraId="66ED6524" w14:textId="77777777" w:rsidR="00A02DAC" w:rsidRPr="00A02DAC" w:rsidRDefault="00A02DAC" w:rsidP="002D7999">
            <w:pPr>
              <w:spacing w:line="276" w:lineRule="auto"/>
              <w:rPr>
                <w:rFonts w:hint="eastAsia"/>
                <w:sz w:val="24"/>
              </w:rPr>
            </w:pPr>
          </w:p>
          <w:p w14:paraId="3C4E07E5" w14:textId="3889DE91" w:rsidR="00A02DAC" w:rsidRPr="000B6A8E" w:rsidRDefault="00A02DAC" w:rsidP="00843D47">
            <w:pPr>
              <w:ind w:firstLineChars="200" w:firstLine="480"/>
              <w:rPr>
                <w:sz w:val="24"/>
              </w:rPr>
            </w:pPr>
            <w:r w:rsidRPr="000B6A8E">
              <w:rPr>
                <w:rFonts w:hint="eastAsia"/>
                <w:sz w:val="24"/>
              </w:rPr>
              <w:t>Q</w:t>
            </w:r>
            <w:r w:rsidR="002D7999">
              <w:rPr>
                <w:rFonts w:hint="eastAsia"/>
                <w:sz w:val="24"/>
              </w:rPr>
              <w:t>3</w:t>
            </w:r>
            <w:r w:rsidR="002D7999">
              <w:rPr>
                <w:rFonts w:hint="eastAsia"/>
                <w:sz w:val="24"/>
              </w:rPr>
              <w:t>、</w:t>
            </w:r>
            <w:r w:rsidRPr="000B6A8E">
              <w:rPr>
                <w:rFonts w:hint="eastAsia"/>
                <w:sz w:val="24"/>
              </w:rPr>
              <w:t>如何展望线</w:t>
            </w:r>
            <w:proofErr w:type="gramStart"/>
            <w:r w:rsidRPr="000B6A8E">
              <w:rPr>
                <w:rFonts w:hint="eastAsia"/>
                <w:sz w:val="24"/>
              </w:rPr>
              <w:t>上渠道</w:t>
            </w:r>
            <w:proofErr w:type="gramEnd"/>
            <w:r w:rsidRPr="000B6A8E">
              <w:rPr>
                <w:rFonts w:hint="eastAsia"/>
                <w:sz w:val="24"/>
              </w:rPr>
              <w:t>的表现？</w:t>
            </w:r>
          </w:p>
          <w:p w14:paraId="2A4147A0" w14:textId="0E16DA80" w:rsidR="00A02DAC" w:rsidRPr="00A02DAC" w:rsidRDefault="00A02DAC" w:rsidP="00A02DAC">
            <w:pPr>
              <w:ind w:firstLineChars="200" w:firstLine="480"/>
              <w:rPr>
                <w:rFonts w:hint="eastAsia"/>
                <w:sz w:val="24"/>
              </w:rPr>
            </w:pPr>
            <w:r w:rsidRPr="000B6A8E">
              <w:rPr>
                <w:rFonts w:hint="eastAsia"/>
                <w:sz w:val="24"/>
              </w:rPr>
              <w:t>在线上领域，公司与天猫、京东、</w:t>
            </w:r>
            <w:proofErr w:type="gramStart"/>
            <w:r w:rsidRPr="000B6A8E">
              <w:rPr>
                <w:rFonts w:hint="eastAsia"/>
                <w:sz w:val="24"/>
              </w:rPr>
              <w:t>抖音等主流电</w:t>
            </w:r>
            <w:proofErr w:type="gramEnd"/>
            <w:r w:rsidRPr="000B6A8E">
              <w:rPr>
                <w:rFonts w:hint="eastAsia"/>
                <w:sz w:val="24"/>
              </w:rPr>
              <w:t>商平台建立了紧密的合作关系，也积极拓展新媒体平台、视频直播，投放更多吸引目标用户群体的设计和创新产品及内容，提升整体品牌力和客户黏度。</w:t>
            </w:r>
          </w:p>
        </w:tc>
      </w:tr>
      <w:tr w:rsidR="00A02DAC" w14:paraId="52513AF5" w14:textId="77777777" w:rsidTr="00843D47">
        <w:trPr>
          <w:trHeight w:val="651"/>
        </w:trPr>
        <w:tc>
          <w:tcPr>
            <w:tcW w:w="1921" w:type="dxa"/>
            <w:vAlign w:val="center"/>
          </w:tcPr>
          <w:p w14:paraId="457C47D1" w14:textId="77777777" w:rsidR="00A02DAC" w:rsidRDefault="00A02DAC" w:rsidP="00843D47">
            <w:pPr>
              <w:spacing w:line="480" w:lineRule="atLeast"/>
              <w:rPr>
                <w:rFonts w:ascii="宋体" w:hAnsi="宋体" w:hint="eastAsia"/>
                <w:b/>
                <w:bCs/>
                <w:iCs/>
                <w:color w:val="000000"/>
                <w:sz w:val="24"/>
              </w:rPr>
            </w:pPr>
            <w:r>
              <w:rPr>
                <w:rFonts w:ascii="宋体" w:hAnsi="宋体" w:hint="eastAsia"/>
                <w:b/>
                <w:bCs/>
                <w:iCs/>
                <w:color w:val="000000"/>
                <w:sz w:val="24"/>
              </w:rPr>
              <w:lastRenderedPageBreak/>
              <w:t>附件清单（如有）</w:t>
            </w:r>
          </w:p>
        </w:tc>
        <w:tc>
          <w:tcPr>
            <w:tcW w:w="6661" w:type="dxa"/>
          </w:tcPr>
          <w:p w14:paraId="4BDC024E" w14:textId="77777777" w:rsidR="00A02DAC" w:rsidRDefault="00A02DAC" w:rsidP="00843D47">
            <w:pPr>
              <w:spacing w:line="480" w:lineRule="atLeast"/>
              <w:rPr>
                <w:rFonts w:ascii="宋体" w:hAnsi="宋体" w:hint="eastAsia"/>
                <w:bCs/>
                <w:iCs/>
                <w:color w:val="000000"/>
                <w:sz w:val="24"/>
              </w:rPr>
            </w:pPr>
            <w:r>
              <w:rPr>
                <w:rFonts w:ascii="宋体" w:hAnsi="宋体" w:hint="eastAsia"/>
                <w:bCs/>
                <w:iCs/>
                <w:color w:val="000000"/>
                <w:sz w:val="24"/>
              </w:rPr>
              <w:t>无</w:t>
            </w:r>
          </w:p>
        </w:tc>
      </w:tr>
      <w:tr w:rsidR="00A02DAC" w14:paraId="26732F8A" w14:textId="77777777" w:rsidTr="00843D47">
        <w:trPr>
          <w:trHeight w:val="588"/>
        </w:trPr>
        <w:tc>
          <w:tcPr>
            <w:tcW w:w="1921" w:type="dxa"/>
            <w:vAlign w:val="center"/>
          </w:tcPr>
          <w:p w14:paraId="114FB3EE" w14:textId="77777777" w:rsidR="00A02DAC" w:rsidRDefault="00A02DAC" w:rsidP="00843D47">
            <w:pPr>
              <w:spacing w:line="480" w:lineRule="atLeast"/>
              <w:rPr>
                <w:rFonts w:ascii="宋体" w:hAnsi="宋体" w:hint="eastAsia"/>
                <w:b/>
                <w:bCs/>
                <w:iCs/>
                <w:color w:val="000000"/>
                <w:sz w:val="24"/>
              </w:rPr>
            </w:pPr>
            <w:r>
              <w:rPr>
                <w:rFonts w:ascii="宋体" w:hAnsi="宋体" w:hint="eastAsia"/>
                <w:b/>
                <w:bCs/>
                <w:iCs/>
                <w:color w:val="000000"/>
                <w:sz w:val="24"/>
              </w:rPr>
              <w:t>备注</w:t>
            </w:r>
          </w:p>
        </w:tc>
        <w:tc>
          <w:tcPr>
            <w:tcW w:w="6661" w:type="dxa"/>
          </w:tcPr>
          <w:p w14:paraId="39B66CA8" w14:textId="77777777" w:rsidR="00A02DAC" w:rsidRDefault="00A02DAC" w:rsidP="00843D47">
            <w:pPr>
              <w:spacing w:line="480" w:lineRule="atLeast"/>
              <w:rPr>
                <w:rFonts w:ascii="宋体" w:hAnsi="宋体" w:hint="eastAsia"/>
                <w:bCs/>
                <w:iCs/>
                <w:color w:val="000000"/>
                <w:sz w:val="24"/>
              </w:rPr>
            </w:pPr>
            <w:r>
              <w:rPr>
                <w:rFonts w:hint="eastAsia"/>
                <w:sz w:val="24"/>
              </w:rPr>
              <w:t>活动过程中，公司与投资者进行了充分的交流与沟通，并严格按照相关法律法规、公司《信息披露管理制度》等规定，保证信息披露的真实、准确、完整、及时、公平，没有出现未公开重大信息泄露等情况。</w:t>
            </w:r>
          </w:p>
        </w:tc>
      </w:tr>
    </w:tbl>
    <w:p w14:paraId="2BF3980D" w14:textId="77777777" w:rsidR="00A02DAC" w:rsidRDefault="00A02DAC" w:rsidP="00A02DAC">
      <w:pPr>
        <w:pStyle w:val="a5"/>
        <w:spacing w:line="276" w:lineRule="auto"/>
        <w:ind w:right="1440"/>
        <w:rPr>
          <w:rFonts w:hint="eastAsia"/>
        </w:rPr>
      </w:pPr>
    </w:p>
    <w:p w14:paraId="70B60A99" w14:textId="77777777" w:rsidR="00A804A3" w:rsidRPr="00A02DAC" w:rsidRDefault="00A804A3">
      <w:pPr>
        <w:rPr>
          <w:rFonts w:hint="eastAsia"/>
        </w:rPr>
      </w:pPr>
    </w:p>
    <w:sectPr w:rsidR="00A804A3" w:rsidRPr="00A02DAC" w:rsidSect="00A02DAC">
      <w:footerReference w:type="even" r:id="rId4"/>
      <w:pgSz w:w="11906" w:h="16838"/>
      <w:pgMar w:top="1134" w:right="1797" w:bottom="1134"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CF92C" w14:textId="77777777" w:rsidR="002D7999" w:rsidRDefault="002D799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18FEDA4" w14:textId="77777777" w:rsidR="002D7999" w:rsidRDefault="002D7999">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500"/>
    <w:rsid w:val="00004389"/>
    <w:rsid w:val="000055D3"/>
    <w:rsid w:val="0004758B"/>
    <w:rsid w:val="00054293"/>
    <w:rsid w:val="000707EB"/>
    <w:rsid w:val="0007426E"/>
    <w:rsid w:val="00074778"/>
    <w:rsid w:val="00083FDA"/>
    <w:rsid w:val="00093CF5"/>
    <w:rsid w:val="000A7DFC"/>
    <w:rsid w:val="000B5A92"/>
    <w:rsid w:val="000B7CB1"/>
    <w:rsid w:val="000C5699"/>
    <w:rsid w:val="000D7593"/>
    <w:rsid w:val="000E4CBD"/>
    <w:rsid w:val="000E75E4"/>
    <w:rsid w:val="000F0364"/>
    <w:rsid w:val="000F662F"/>
    <w:rsid w:val="00100062"/>
    <w:rsid w:val="00100A1A"/>
    <w:rsid w:val="00103D6B"/>
    <w:rsid w:val="00104153"/>
    <w:rsid w:val="00112841"/>
    <w:rsid w:val="001143D6"/>
    <w:rsid w:val="00114556"/>
    <w:rsid w:val="001353A0"/>
    <w:rsid w:val="00160C14"/>
    <w:rsid w:val="00164237"/>
    <w:rsid w:val="00170FC1"/>
    <w:rsid w:val="0018101C"/>
    <w:rsid w:val="001926F7"/>
    <w:rsid w:val="0019288B"/>
    <w:rsid w:val="00196083"/>
    <w:rsid w:val="001A577E"/>
    <w:rsid w:val="001B6B45"/>
    <w:rsid w:val="001B7BC2"/>
    <w:rsid w:val="001C07AC"/>
    <w:rsid w:val="001C7EAF"/>
    <w:rsid w:val="001D316C"/>
    <w:rsid w:val="001D34F5"/>
    <w:rsid w:val="001D4918"/>
    <w:rsid w:val="001E1AAF"/>
    <w:rsid w:val="001E2F6C"/>
    <w:rsid w:val="001E336D"/>
    <w:rsid w:val="001E50E7"/>
    <w:rsid w:val="001F0897"/>
    <w:rsid w:val="00205CCB"/>
    <w:rsid w:val="002074C7"/>
    <w:rsid w:val="00211817"/>
    <w:rsid w:val="00215006"/>
    <w:rsid w:val="00217A54"/>
    <w:rsid w:val="00227C1E"/>
    <w:rsid w:val="00241975"/>
    <w:rsid w:val="002434FE"/>
    <w:rsid w:val="00253F09"/>
    <w:rsid w:val="002616FE"/>
    <w:rsid w:val="00291127"/>
    <w:rsid w:val="00291FBB"/>
    <w:rsid w:val="002A2BAD"/>
    <w:rsid w:val="002A66C0"/>
    <w:rsid w:val="002B492B"/>
    <w:rsid w:val="002C587F"/>
    <w:rsid w:val="002C64FC"/>
    <w:rsid w:val="002D1285"/>
    <w:rsid w:val="002D28C9"/>
    <w:rsid w:val="002D7999"/>
    <w:rsid w:val="002E458D"/>
    <w:rsid w:val="00301C19"/>
    <w:rsid w:val="00302AC2"/>
    <w:rsid w:val="00316B4E"/>
    <w:rsid w:val="0032620A"/>
    <w:rsid w:val="003265A5"/>
    <w:rsid w:val="0033466E"/>
    <w:rsid w:val="0035074F"/>
    <w:rsid w:val="00352536"/>
    <w:rsid w:val="00354785"/>
    <w:rsid w:val="00361F6D"/>
    <w:rsid w:val="00363DC4"/>
    <w:rsid w:val="00380E34"/>
    <w:rsid w:val="00381BC3"/>
    <w:rsid w:val="00391FA5"/>
    <w:rsid w:val="003B1E69"/>
    <w:rsid w:val="003B2708"/>
    <w:rsid w:val="003C25FF"/>
    <w:rsid w:val="003C2CA1"/>
    <w:rsid w:val="003D2039"/>
    <w:rsid w:val="003D24F1"/>
    <w:rsid w:val="003D3512"/>
    <w:rsid w:val="003E1A4B"/>
    <w:rsid w:val="003E2D91"/>
    <w:rsid w:val="00400A77"/>
    <w:rsid w:val="00406F42"/>
    <w:rsid w:val="00417EE5"/>
    <w:rsid w:val="00426BC8"/>
    <w:rsid w:val="0043370A"/>
    <w:rsid w:val="00456101"/>
    <w:rsid w:val="0046419A"/>
    <w:rsid w:val="00465934"/>
    <w:rsid w:val="00466EED"/>
    <w:rsid w:val="00487A0F"/>
    <w:rsid w:val="00491B07"/>
    <w:rsid w:val="004A5863"/>
    <w:rsid w:val="004C055C"/>
    <w:rsid w:val="004C22AA"/>
    <w:rsid w:val="004D32ED"/>
    <w:rsid w:val="004E1885"/>
    <w:rsid w:val="004E56C7"/>
    <w:rsid w:val="0051031B"/>
    <w:rsid w:val="005215B2"/>
    <w:rsid w:val="00521E49"/>
    <w:rsid w:val="00521EDC"/>
    <w:rsid w:val="00524732"/>
    <w:rsid w:val="005316F5"/>
    <w:rsid w:val="00531999"/>
    <w:rsid w:val="005456CE"/>
    <w:rsid w:val="00550471"/>
    <w:rsid w:val="00550552"/>
    <w:rsid w:val="00552749"/>
    <w:rsid w:val="0055279E"/>
    <w:rsid w:val="00554401"/>
    <w:rsid w:val="00570E0B"/>
    <w:rsid w:val="005853E4"/>
    <w:rsid w:val="00592722"/>
    <w:rsid w:val="005A0225"/>
    <w:rsid w:val="005A3825"/>
    <w:rsid w:val="005A466A"/>
    <w:rsid w:val="005A7EE4"/>
    <w:rsid w:val="005C1023"/>
    <w:rsid w:val="005D4831"/>
    <w:rsid w:val="005D69F3"/>
    <w:rsid w:val="005E5EFE"/>
    <w:rsid w:val="005F063D"/>
    <w:rsid w:val="0060316E"/>
    <w:rsid w:val="006076AD"/>
    <w:rsid w:val="00610E31"/>
    <w:rsid w:val="00617F32"/>
    <w:rsid w:val="006234D7"/>
    <w:rsid w:val="0063292D"/>
    <w:rsid w:val="00634FCE"/>
    <w:rsid w:val="00641AC5"/>
    <w:rsid w:val="00645A6A"/>
    <w:rsid w:val="00651B8C"/>
    <w:rsid w:val="00664F64"/>
    <w:rsid w:val="00665EF7"/>
    <w:rsid w:val="0066640A"/>
    <w:rsid w:val="006670DB"/>
    <w:rsid w:val="0067284C"/>
    <w:rsid w:val="0067752A"/>
    <w:rsid w:val="006813F2"/>
    <w:rsid w:val="006A769D"/>
    <w:rsid w:val="006B4B37"/>
    <w:rsid w:val="006C0840"/>
    <w:rsid w:val="006C11BC"/>
    <w:rsid w:val="006D141C"/>
    <w:rsid w:val="006E52F9"/>
    <w:rsid w:val="006F345C"/>
    <w:rsid w:val="006F5A4C"/>
    <w:rsid w:val="0070313E"/>
    <w:rsid w:val="007101B1"/>
    <w:rsid w:val="00722E49"/>
    <w:rsid w:val="007461B2"/>
    <w:rsid w:val="00751FEA"/>
    <w:rsid w:val="007526A9"/>
    <w:rsid w:val="0076046C"/>
    <w:rsid w:val="007732B8"/>
    <w:rsid w:val="0077746C"/>
    <w:rsid w:val="00786D15"/>
    <w:rsid w:val="0079753E"/>
    <w:rsid w:val="007A2B03"/>
    <w:rsid w:val="007A4F1C"/>
    <w:rsid w:val="007A5629"/>
    <w:rsid w:val="007B21DB"/>
    <w:rsid w:val="007B5FC0"/>
    <w:rsid w:val="007B6EC4"/>
    <w:rsid w:val="007B6F6C"/>
    <w:rsid w:val="007C4336"/>
    <w:rsid w:val="007D3A8A"/>
    <w:rsid w:val="007D5925"/>
    <w:rsid w:val="007E61AA"/>
    <w:rsid w:val="007F2239"/>
    <w:rsid w:val="00800C21"/>
    <w:rsid w:val="00804613"/>
    <w:rsid w:val="0080595A"/>
    <w:rsid w:val="0080732B"/>
    <w:rsid w:val="00813A1C"/>
    <w:rsid w:val="00816E64"/>
    <w:rsid w:val="008216FD"/>
    <w:rsid w:val="00822423"/>
    <w:rsid w:val="00825AAA"/>
    <w:rsid w:val="008268C0"/>
    <w:rsid w:val="008277D9"/>
    <w:rsid w:val="00827FA3"/>
    <w:rsid w:val="00837CFC"/>
    <w:rsid w:val="0084380B"/>
    <w:rsid w:val="00844880"/>
    <w:rsid w:val="0084790B"/>
    <w:rsid w:val="0085061F"/>
    <w:rsid w:val="008606C9"/>
    <w:rsid w:val="00866204"/>
    <w:rsid w:val="0089507E"/>
    <w:rsid w:val="008A66AD"/>
    <w:rsid w:val="008A713B"/>
    <w:rsid w:val="008B1481"/>
    <w:rsid w:val="008B27CA"/>
    <w:rsid w:val="008B62C4"/>
    <w:rsid w:val="008E00AD"/>
    <w:rsid w:val="00902B6E"/>
    <w:rsid w:val="00905C13"/>
    <w:rsid w:val="00912C96"/>
    <w:rsid w:val="00914016"/>
    <w:rsid w:val="00916A01"/>
    <w:rsid w:val="00925E5C"/>
    <w:rsid w:val="00927E60"/>
    <w:rsid w:val="009352C8"/>
    <w:rsid w:val="00935ECB"/>
    <w:rsid w:val="00940101"/>
    <w:rsid w:val="00942BC9"/>
    <w:rsid w:val="00945590"/>
    <w:rsid w:val="009524F0"/>
    <w:rsid w:val="009637BF"/>
    <w:rsid w:val="00977C9C"/>
    <w:rsid w:val="00983F64"/>
    <w:rsid w:val="009902E8"/>
    <w:rsid w:val="009A567E"/>
    <w:rsid w:val="009A6A4F"/>
    <w:rsid w:val="009B2462"/>
    <w:rsid w:val="009C1A9C"/>
    <w:rsid w:val="009C2D73"/>
    <w:rsid w:val="009C7E21"/>
    <w:rsid w:val="009D30B8"/>
    <w:rsid w:val="009E67B6"/>
    <w:rsid w:val="009F5E17"/>
    <w:rsid w:val="00A02DAC"/>
    <w:rsid w:val="00A07998"/>
    <w:rsid w:val="00A16710"/>
    <w:rsid w:val="00A2562A"/>
    <w:rsid w:val="00A26942"/>
    <w:rsid w:val="00A34222"/>
    <w:rsid w:val="00A40A4B"/>
    <w:rsid w:val="00A5436F"/>
    <w:rsid w:val="00A56317"/>
    <w:rsid w:val="00A65261"/>
    <w:rsid w:val="00A6600B"/>
    <w:rsid w:val="00A706CE"/>
    <w:rsid w:val="00A72EB6"/>
    <w:rsid w:val="00A7458B"/>
    <w:rsid w:val="00A804A3"/>
    <w:rsid w:val="00A8272C"/>
    <w:rsid w:val="00A86496"/>
    <w:rsid w:val="00A96C13"/>
    <w:rsid w:val="00AA65FF"/>
    <w:rsid w:val="00AB3F62"/>
    <w:rsid w:val="00AC5E0A"/>
    <w:rsid w:val="00AE2740"/>
    <w:rsid w:val="00AE2C67"/>
    <w:rsid w:val="00AE6778"/>
    <w:rsid w:val="00AF2C8D"/>
    <w:rsid w:val="00AF51C5"/>
    <w:rsid w:val="00AF7A1F"/>
    <w:rsid w:val="00B07187"/>
    <w:rsid w:val="00B073F2"/>
    <w:rsid w:val="00B12462"/>
    <w:rsid w:val="00B150BE"/>
    <w:rsid w:val="00B26E3D"/>
    <w:rsid w:val="00B410CD"/>
    <w:rsid w:val="00B41DC8"/>
    <w:rsid w:val="00B42BCC"/>
    <w:rsid w:val="00B43A57"/>
    <w:rsid w:val="00B46999"/>
    <w:rsid w:val="00B51947"/>
    <w:rsid w:val="00B51D9D"/>
    <w:rsid w:val="00B532C9"/>
    <w:rsid w:val="00B579D2"/>
    <w:rsid w:val="00B66969"/>
    <w:rsid w:val="00B768E7"/>
    <w:rsid w:val="00B83C42"/>
    <w:rsid w:val="00B853A8"/>
    <w:rsid w:val="00B9100B"/>
    <w:rsid w:val="00B944A2"/>
    <w:rsid w:val="00BB140C"/>
    <w:rsid w:val="00BB4235"/>
    <w:rsid w:val="00BB707A"/>
    <w:rsid w:val="00BC30A4"/>
    <w:rsid w:val="00BD20FE"/>
    <w:rsid w:val="00BD41CF"/>
    <w:rsid w:val="00BF3884"/>
    <w:rsid w:val="00BF422C"/>
    <w:rsid w:val="00C0793F"/>
    <w:rsid w:val="00C12500"/>
    <w:rsid w:val="00C25AB9"/>
    <w:rsid w:val="00C464AF"/>
    <w:rsid w:val="00C50EDA"/>
    <w:rsid w:val="00C57589"/>
    <w:rsid w:val="00C638CC"/>
    <w:rsid w:val="00C74E27"/>
    <w:rsid w:val="00C91924"/>
    <w:rsid w:val="00CA5D2D"/>
    <w:rsid w:val="00CA6C49"/>
    <w:rsid w:val="00CA75E8"/>
    <w:rsid w:val="00CC753E"/>
    <w:rsid w:val="00CD3A04"/>
    <w:rsid w:val="00CD3CCB"/>
    <w:rsid w:val="00CD66D5"/>
    <w:rsid w:val="00CE0A0A"/>
    <w:rsid w:val="00CF48D6"/>
    <w:rsid w:val="00D11BA9"/>
    <w:rsid w:val="00D171CF"/>
    <w:rsid w:val="00D30EB1"/>
    <w:rsid w:val="00D336F3"/>
    <w:rsid w:val="00D35F7C"/>
    <w:rsid w:val="00D41937"/>
    <w:rsid w:val="00D60B9D"/>
    <w:rsid w:val="00D61190"/>
    <w:rsid w:val="00D8609E"/>
    <w:rsid w:val="00D87A36"/>
    <w:rsid w:val="00DA10DD"/>
    <w:rsid w:val="00DA2579"/>
    <w:rsid w:val="00DB236A"/>
    <w:rsid w:val="00DE0BB3"/>
    <w:rsid w:val="00DE5E7D"/>
    <w:rsid w:val="00DF33DB"/>
    <w:rsid w:val="00E02C34"/>
    <w:rsid w:val="00E13668"/>
    <w:rsid w:val="00E22BB7"/>
    <w:rsid w:val="00E26F5A"/>
    <w:rsid w:val="00E33689"/>
    <w:rsid w:val="00E371FE"/>
    <w:rsid w:val="00E37312"/>
    <w:rsid w:val="00E4791A"/>
    <w:rsid w:val="00E57988"/>
    <w:rsid w:val="00E719D3"/>
    <w:rsid w:val="00E80AC3"/>
    <w:rsid w:val="00E825ED"/>
    <w:rsid w:val="00E830DB"/>
    <w:rsid w:val="00E9334B"/>
    <w:rsid w:val="00EC3080"/>
    <w:rsid w:val="00EC36E8"/>
    <w:rsid w:val="00ED7067"/>
    <w:rsid w:val="00EE4089"/>
    <w:rsid w:val="00EE5473"/>
    <w:rsid w:val="00EF1132"/>
    <w:rsid w:val="00EF73A4"/>
    <w:rsid w:val="00F059D0"/>
    <w:rsid w:val="00F23555"/>
    <w:rsid w:val="00F32363"/>
    <w:rsid w:val="00F32B00"/>
    <w:rsid w:val="00F40410"/>
    <w:rsid w:val="00F433D7"/>
    <w:rsid w:val="00F4375A"/>
    <w:rsid w:val="00F44AA9"/>
    <w:rsid w:val="00F44FBD"/>
    <w:rsid w:val="00F519D3"/>
    <w:rsid w:val="00F54252"/>
    <w:rsid w:val="00F54696"/>
    <w:rsid w:val="00F62552"/>
    <w:rsid w:val="00F726B2"/>
    <w:rsid w:val="00F8118D"/>
    <w:rsid w:val="00F81303"/>
    <w:rsid w:val="00FB0092"/>
    <w:rsid w:val="00FB3672"/>
    <w:rsid w:val="00FD7A62"/>
    <w:rsid w:val="00FE7984"/>
    <w:rsid w:val="00FF3153"/>
    <w:rsid w:val="00FF5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B348B"/>
  <w15:chartTrackingRefBased/>
  <w15:docId w15:val="{DAEDC52D-1885-4534-A1AE-F4F5EB36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DA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A02D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4">
    <w:name w:val="页脚 字符"/>
    <w:basedOn w:val="a0"/>
    <w:link w:val="a3"/>
    <w:rsid w:val="00A02DAC"/>
    <w:rPr>
      <w:sz w:val="18"/>
      <w:szCs w:val="18"/>
    </w:rPr>
  </w:style>
  <w:style w:type="paragraph" w:styleId="a5">
    <w:name w:val="Normal (Web)"/>
    <w:basedOn w:val="a"/>
    <w:uiPriority w:val="99"/>
    <w:unhideWhenUsed/>
    <w:rsid w:val="00A02DAC"/>
    <w:pPr>
      <w:widowControl/>
      <w:spacing w:before="100" w:beforeAutospacing="1" w:after="100" w:afterAutospacing="1"/>
      <w:jc w:val="left"/>
    </w:pPr>
    <w:rPr>
      <w:rFonts w:ascii="宋体" w:hAnsi="宋体" w:cs="宋体"/>
      <w:kern w:val="0"/>
      <w:sz w:val="24"/>
    </w:rPr>
  </w:style>
  <w:style w:type="table" w:styleId="a6">
    <w:name w:val="Table Grid"/>
    <w:basedOn w:val="a1"/>
    <w:rsid w:val="00A02D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A02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MGD</dc:creator>
  <cp:keywords/>
  <dc:description/>
  <cp:lastModifiedBy>MGD</cp:lastModifiedBy>
  <cp:revision>2</cp:revision>
  <dcterms:created xsi:type="dcterms:W3CDTF">2024-11-06T07:32:00Z</dcterms:created>
  <dcterms:modified xsi:type="dcterms:W3CDTF">2024-11-06T07:49:00Z</dcterms:modified>
</cp:coreProperties>
</file>