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4C4C">
      <w:pPr>
        <w:widowControl/>
        <w:spacing w:line="540" w:lineRule="exact"/>
        <w:jc w:val="left"/>
      </w:pPr>
      <w:r>
        <w:rPr>
          <w:rFonts w:hint="eastAsia" w:asciiTheme="minorEastAsia" w:hAnsiTheme="minorEastAsia" w:cstheme="minorEastAsia"/>
          <w:b/>
          <w:bCs/>
          <w:kern w:val="0"/>
          <w:sz w:val="24"/>
          <w:szCs w:val="24"/>
        </w:rPr>
        <w:t>证券代码：600502                                   证券简称：安徽建工</w:t>
      </w:r>
    </w:p>
    <w:p w14:paraId="79E898B3">
      <w:pPr>
        <w:spacing w:line="540" w:lineRule="exact"/>
        <w:jc w:val="center"/>
        <w:rPr>
          <w:rFonts w:ascii="方正公文小标宋" w:hAnsi="方正公文小标宋" w:eastAsia="方正公文小标宋" w:cs="方正公文小标宋"/>
          <w:sz w:val="44"/>
          <w:szCs w:val="44"/>
        </w:rPr>
      </w:pPr>
    </w:p>
    <w:p w14:paraId="740FF35E">
      <w:pPr>
        <w:spacing w:line="54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安徽建工投资者关系活动记录表</w:t>
      </w:r>
    </w:p>
    <w:p w14:paraId="665F08D9">
      <w:pPr>
        <w:spacing w:line="540" w:lineRule="exact"/>
        <w:jc w:val="center"/>
        <w:rPr>
          <w:rFonts w:ascii="方正公文小标宋" w:hAnsi="方正公文小标宋" w:eastAsia="方正公文小标宋" w:cs="方正公文小标宋"/>
          <w:sz w:val="44"/>
          <w:szCs w:val="44"/>
        </w:rPr>
      </w:pPr>
    </w:p>
    <w:tbl>
      <w:tblPr>
        <w:tblStyle w:val="8"/>
        <w:tblW w:w="9990" w:type="dxa"/>
        <w:tblInd w:w="-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421"/>
      </w:tblGrid>
      <w:tr w14:paraId="1E87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69" w:type="dxa"/>
            <w:vAlign w:val="center"/>
          </w:tcPr>
          <w:p w14:paraId="5FD861CD">
            <w:pPr>
              <w:widowControl/>
              <w:jc w:val="left"/>
              <w:rPr>
                <w:rFonts w:asciiTheme="minorEastAsia" w:hAnsiTheme="minorEastAsia" w:cstheme="minorEastAsia"/>
                <w:b/>
                <w:bCs/>
                <w:kern w:val="0"/>
                <w:sz w:val="24"/>
                <w:szCs w:val="24"/>
              </w:rPr>
            </w:pPr>
          </w:p>
          <w:p w14:paraId="73A6CF06">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投资者关系</w:t>
            </w:r>
          </w:p>
          <w:p w14:paraId="1F25FF3F">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活动类别</w:t>
            </w:r>
          </w:p>
          <w:p w14:paraId="31A605F3">
            <w:pPr>
              <w:jc w:val="left"/>
              <w:rPr>
                <w:rFonts w:asciiTheme="minorEastAsia" w:hAnsiTheme="minorEastAsia" w:cstheme="minorEastAsia"/>
                <w:b/>
                <w:bCs/>
                <w:sz w:val="24"/>
                <w:szCs w:val="24"/>
              </w:rPr>
            </w:pPr>
          </w:p>
        </w:tc>
        <w:tc>
          <w:tcPr>
            <w:tcW w:w="8421" w:type="dxa"/>
            <w:vAlign w:val="center"/>
          </w:tcPr>
          <w:p w14:paraId="1289CAB1">
            <w:pPr>
              <w:widowControl/>
              <w:rPr>
                <w:rFonts w:asciiTheme="minorEastAsia" w:hAnsiTheme="minorEastAsia" w:cstheme="minorEastAsia"/>
                <w:kern w:val="0"/>
                <w:sz w:val="24"/>
                <w:szCs w:val="24"/>
              </w:rPr>
            </w:pPr>
            <w:r>
              <w:rPr>
                <w:rFonts w:hint="eastAsia" w:asciiTheme="minorEastAsia" w:hAnsiTheme="minorEastAsia" w:cstheme="minorEastAsia"/>
                <w:kern w:val="0"/>
                <w:sz w:val="24"/>
                <w:szCs w:val="24"/>
              </w:rPr>
              <w:t>☑特定对象调研    ☑分析师会议     ☑电话会议</w:t>
            </w:r>
          </w:p>
          <w:p w14:paraId="64F9A079">
            <w:pPr>
              <w:widowControl/>
              <w:rPr>
                <w:rFonts w:asciiTheme="minorEastAsia" w:hAnsiTheme="minorEastAsia" w:cstheme="minorEastAsia"/>
                <w:kern w:val="0"/>
                <w:sz w:val="24"/>
                <w:szCs w:val="24"/>
              </w:rPr>
            </w:pPr>
            <w:r>
              <w:rPr>
                <w:rFonts w:hint="eastAsia" w:asciiTheme="minorEastAsia" w:hAnsiTheme="minorEastAsia" w:cstheme="minorEastAsia"/>
                <w:kern w:val="0"/>
                <w:sz w:val="24"/>
                <w:szCs w:val="24"/>
              </w:rPr>
              <w:t>□业绩说明会      □媒体采访       □现场参观</w:t>
            </w:r>
          </w:p>
          <w:p w14:paraId="486BAD2C">
            <w:pPr>
              <w:widowControl/>
              <w:rPr>
                <w:rFonts w:asciiTheme="minorEastAsia" w:hAnsiTheme="minorEastAsia" w:cstheme="minorEastAsia"/>
                <w:sz w:val="24"/>
                <w:szCs w:val="24"/>
              </w:rPr>
            </w:pPr>
            <w:r>
              <w:rPr>
                <w:rFonts w:hint="eastAsia" w:asciiTheme="minorEastAsia" w:hAnsiTheme="minorEastAsia" w:cstheme="minorEastAsia"/>
                <w:kern w:val="0"/>
                <w:sz w:val="24"/>
                <w:szCs w:val="24"/>
              </w:rPr>
              <w:t>□新闻发布会      □路演活动       □其他</w:t>
            </w:r>
          </w:p>
        </w:tc>
      </w:tr>
      <w:tr w14:paraId="4454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69" w:type="dxa"/>
            <w:vAlign w:val="center"/>
          </w:tcPr>
          <w:p w14:paraId="4D1C0ADB">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时间</w:t>
            </w:r>
          </w:p>
        </w:tc>
        <w:tc>
          <w:tcPr>
            <w:tcW w:w="8421" w:type="dxa"/>
            <w:vAlign w:val="center"/>
          </w:tcPr>
          <w:p w14:paraId="13B0D527">
            <w:pP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2024年10月1日-10月31日</w:t>
            </w:r>
          </w:p>
        </w:tc>
      </w:tr>
      <w:tr w14:paraId="2E72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69" w:type="dxa"/>
            <w:vAlign w:val="center"/>
          </w:tcPr>
          <w:p w14:paraId="1675DD6A">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地点</w:t>
            </w:r>
          </w:p>
        </w:tc>
        <w:tc>
          <w:tcPr>
            <w:tcW w:w="8421" w:type="dxa"/>
            <w:vAlign w:val="center"/>
          </w:tcPr>
          <w:p w14:paraId="2A7C69B4">
            <w:pP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安徽省合肥市蜀山区黄山路459号安建国际大厦</w:t>
            </w:r>
          </w:p>
        </w:tc>
      </w:tr>
      <w:tr w14:paraId="59AF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69" w:type="dxa"/>
            <w:vAlign w:val="center"/>
          </w:tcPr>
          <w:p w14:paraId="4A80552A">
            <w:pPr>
              <w:widowControl/>
              <w:jc w:val="left"/>
              <w:rPr>
                <w:rFonts w:asciiTheme="minorEastAsia" w:hAnsiTheme="minorEastAsia" w:cstheme="minorEastAsia"/>
                <w:b/>
                <w:bCs/>
                <w:kern w:val="0"/>
                <w:sz w:val="24"/>
                <w:szCs w:val="24"/>
              </w:rPr>
            </w:pPr>
          </w:p>
          <w:p w14:paraId="1E38D221">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参与单位名称及人员</w:t>
            </w:r>
          </w:p>
          <w:p w14:paraId="421CCC7D">
            <w:pPr>
              <w:jc w:val="left"/>
              <w:rPr>
                <w:rFonts w:asciiTheme="minorEastAsia" w:hAnsiTheme="minorEastAsia" w:cstheme="minorEastAsia"/>
                <w:b/>
                <w:bCs/>
                <w:sz w:val="24"/>
                <w:szCs w:val="24"/>
              </w:rPr>
            </w:pPr>
          </w:p>
        </w:tc>
        <w:tc>
          <w:tcPr>
            <w:tcW w:w="8421" w:type="dxa"/>
            <w:vAlign w:val="center"/>
          </w:tcPr>
          <w:p w14:paraId="76864B36">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广发证券：耿鹏智、乔钢</w:t>
            </w:r>
          </w:p>
          <w:p w14:paraId="6B522BF3">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长城证券：王龙</w:t>
            </w:r>
          </w:p>
          <w:p w14:paraId="72FD19D1">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国投证券：苏多永</w:t>
            </w:r>
          </w:p>
          <w:p w14:paraId="23447D4C">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长江证券：张驰、张智杰</w:t>
            </w:r>
          </w:p>
          <w:p w14:paraId="5FEA4931">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天风证券：王涛、任嘉禹、张蒙幻</w:t>
            </w:r>
          </w:p>
        </w:tc>
      </w:tr>
      <w:tr w14:paraId="19FC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569" w:type="dxa"/>
            <w:vAlign w:val="center"/>
          </w:tcPr>
          <w:p w14:paraId="11136AD4">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 xml:space="preserve">上市公司接待人员 </w:t>
            </w:r>
          </w:p>
        </w:tc>
        <w:tc>
          <w:tcPr>
            <w:tcW w:w="8421" w:type="dxa"/>
            <w:vAlign w:val="center"/>
          </w:tcPr>
          <w:p w14:paraId="6D2BFB30">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董事会秘书、财务总监  刘强</w:t>
            </w:r>
          </w:p>
          <w:p w14:paraId="208E85E7">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证券事务部部长  许丽</w:t>
            </w:r>
          </w:p>
        </w:tc>
      </w:tr>
      <w:tr w14:paraId="22C6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569" w:type="dxa"/>
            <w:vAlign w:val="center"/>
          </w:tcPr>
          <w:p w14:paraId="0CD6A59E">
            <w:pPr>
              <w:widowControl/>
              <w:spacing w:beforeLines="50"/>
              <w:jc w:val="left"/>
              <w:rPr>
                <w:rFonts w:asciiTheme="minorEastAsia" w:hAnsiTheme="minorEastAsia" w:cstheme="minorEastAsia"/>
                <w:b/>
                <w:bCs/>
                <w:kern w:val="0"/>
                <w:sz w:val="24"/>
                <w:szCs w:val="24"/>
              </w:rPr>
            </w:pPr>
          </w:p>
          <w:p w14:paraId="7D2E72F3">
            <w:pPr>
              <w:widowControl/>
              <w:spacing w:beforeLines="50"/>
              <w:jc w:val="left"/>
              <w:rPr>
                <w:rFonts w:asciiTheme="minorEastAsia" w:hAnsiTheme="minorEastAsia" w:cstheme="minorEastAsia"/>
                <w:b/>
                <w:bCs/>
                <w:kern w:val="0"/>
                <w:sz w:val="24"/>
                <w:szCs w:val="24"/>
              </w:rPr>
            </w:pPr>
          </w:p>
          <w:p w14:paraId="7EF1DE5F">
            <w:pPr>
              <w:widowControl/>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投资者关系 </w:t>
            </w:r>
          </w:p>
          <w:p w14:paraId="6858A2C5">
            <w:pPr>
              <w:widowControl/>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活动主要内容介绍 </w:t>
            </w:r>
          </w:p>
          <w:p w14:paraId="0C27A1C2">
            <w:pPr>
              <w:spacing w:beforeLines="50"/>
              <w:jc w:val="left"/>
              <w:rPr>
                <w:rFonts w:asciiTheme="minorEastAsia" w:hAnsiTheme="minorEastAsia" w:cstheme="minorEastAsia"/>
                <w:b/>
                <w:bCs/>
                <w:sz w:val="24"/>
                <w:szCs w:val="24"/>
              </w:rPr>
            </w:pPr>
          </w:p>
        </w:tc>
        <w:tc>
          <w:tcPr>
            <w:tcW w:w="8421" w:type="dxa"/>
          </w:tcPr>
          <w:p w14:paraId="45BCD25A">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一、请介绍一下公司2024年前三季度的经营情况？</w:t>
            </w:r>
          </w:p>
          <w:p w14:paraId="3E4F95BD">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前三季度，公司实现营业收入539.63亿元，同比下降9.96%，实现归属于上市公司股东的净利润9.62亿元，同比下降9.55%。主要系受宏观经济影响，在手合同额未能有效转化为新开工项目，以及公司为控制风险主动对部分在建项目进行阶段性停工。</w:t>
            </w:r>
          </w:p>
          <w:p w14:paraId="7F5C7C62">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营收和归母净利润较去年同期虽然略有下降，但公司整体发展态势向好。一是新签订单持续增长。三季度实现新签工程合同总额314.75亿元，同比增长 17.85%；前三季度累计新签工程合同金额1,037.62亿元，同比增长2.21%</w:t>
            </w:r>
            <w:r>
              <w:rPr>
                <w:rFonts w:hint="eastAsia" w:ascii="仿宋_GB2312" w:hAnsi="仿宋_GB2312" w:eastAsia="仿宋_GB2312" w:cs="仿宋_GB2312"/>
                <w:bCs/>
                <w:sz w:val="24"/>
                <w:szCs w:val="24"/>
                <w:lang w:eastAsia="zh-CN"/>
              </w:rPr>
              <w:t>，特别是水利工程和公路桥梁业务增长较好</w:t>
            </w:r>
            <w:r>
              <w:rPr>
                <w:rFonts w:hint="eastAsia" w:ascii="仿宋_GB2312" w:hAnsi="仿宋_GB2312" w:eastAsia="仿宋_GB2312" w:cs="仿宋_GB2312"/>
                <w:bCs/>
                <w:sz w:val="24"/>
                <w:szCs w:val="24"/>
              </w:rPr>
              <w:t>。二是市场开拓能力持续增强。公司所属子公司安徽水利获得水利水电工程施工总承包特级资质，有助于进一步提升公司核心竞争力。三是资产负债率稳中有降。公司三季度末资产负债率85.91%，较上年末下降0.04个百分点。四是盈利能力稳步提升。公司持续加强项目管理，优化业务结构，毛利率同比提升0.62个百分点。</w:t>
            </w:r>
          </w:p>
          <w:p w14:paraId="1E9DBFA1">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2024年第四季度，公司将在抓改革、拓市场、强管理、增效益、防风险等方面下更大功夫，争取更大成效，努力创造良好业绩，为明年开好局、起好步打下坚实基础。</w:t>
            </w:r>
          </w:p>
          <w:p w14:paraId="652821E3">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二、公司前三季度收入的构成情况，能否做一下拆分？</w:t>
            </w:r>
          </w:p>
          <w:p w14:paraId="63439024">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答：2024年前三季度，公司实现营业收入539.63亿元。其中：工程建设类占比约78%；房地产类约占8%；其他业务（含设计检测、智能制造、建材商贸等）合计占比约14%。</w:t>
            </w:r>
          </w:p>
          <w:p w14:paraId="2E99F7E6">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三、公司经营性现金流净流出的原因？未来现金流如何展望？</w:t>
            </w:r>
          </w:p>
          <w:p w14:paraId="744A8782">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bCs/>
                <w:sz w:val="24"/>
                <w:szCs w:val="24"/>
              </w:rPr>
              <w:t>答：2024年前三季度经营性现金流净流出52.55亿元，主要系公司为履行社会责任及时向下游中小企业支付，而业主单位工程款支付不及预期，以及PPP回款出现逾期支付的情况。四季度公司将持续强化现金流管理，采取的主要措施包括：加大应收账款清收力度，强化资金</w:t>
            </w:r>
            <w:r>
              <w:rPr>
                <w:rFonts w:hint="eastAsia" w:ascii="仿宋_GB2312" w:hAnsi="仿宋_GB2312" w:eastAsia="仿宋_GB2312" w:cs="仿宋_GB2312"/>
                <w:bCs/>
                <w:sz w:val="24"/>
                <w:szCs w:val="24"/>
                <w:lang w:eastAsia="zh-CN"/>
              </w:rPr>
              <w:t>调度及融资</w:t>
            </w:r>
            <w:r>
              <w:rPr>
                <w:rFonts w:hint="eastAsia" w:ascii="仿宋_GB2312" w:hAnsi="仿宋_GB2312" w:eastAsia="仿宋_GB2312" w:cs="仿宋_GB2312"/>
                <w:bCs/>
                <w:sz w:val="24"/>
                <w:szCs w:val="24"/>
              </w:rPr>
              <w:t>预算管理，加强经营现金流考核等。</w:t>
            </w:r>
          </w:p>
          <w:p w14:paraId="6BCB1150">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四、公司对于压降资产负债率有哪些举措？</w:t>
            </w:r>
          </w:p>
          <w:p w14:paraId="0DFEA47B">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答：2024年9月30日公司资产负债率85.91%，较上年末下降0.04个百分点。公司将积极通过加强应收账款</w:t>
            </w:r>
            <w:r>
              <w:rPr>
                <w:rFonts w:hint="eastAsia" w:ascii="仿宋_GB2312" w:hAnsi="仿宋_GB2312" w:eastAsia="仿宋_GB2312" w:cs="仿宋_GB2312"/>
                <w:bCs/>
                <w:sz w:val="24"/>
                <w:szCs w:val="24"/>
              </w:rPr>
              <w:t>清</w:t>
            </w:r>
            <w:r>
              <w:rPr>
                <w:rFonts w:hint="eastAsia" w:ascii="仿宋_GB2312" w:hAnsi="仿宋_GB2312" w:eastAsia="仿宋_GB2312" w:cs="仿宋_GB2312"/>
                <w:sz w:val="24"/>
                <w:szCs w:val="24"/>
              </w:rPr>
              <w:t>收、强化债务</w:t>
            </w:r>
            <w:r>
              <w:rPr>
                <w:rFonts w:hint="eastAsia" w:ascii="仿宋_GB2312" w:hAnsi="仿宋_GB2312" w:eastAsia="仿宋_GB2312" w:cs="仿宋_GB2312"/>
                <w:sz w:val="24"/>
                <w:szCs w:val="24"/>
                <w:lang w:eastAsia="zh-CN"/>
              </w:rPr>
              <w:t>融资</w:t>
            </w:r>
            <w:r>
              <w:rPr>
                <w:rFonts w:hint="eastAsia" w:ascii="仿宋_GB2312" w:hAnsi="仿宋_GB2312" w:eastAsia="仿宋_GB2312" w:cs="仿宋_GB2312"/>
                <w:sz w:val="24"/>
                <w:szCs w:val="24"/>
              </w:rPr>
              <w:t>管控、</w:t>
            </w:r>
            <w:r>
              <w:rPr>
                <w:rFonts w:hint="eastAsia" w:ascii="仿宋_GB2312" w:hAnsi="仿宋_GB2312" w:eastAsia="仿宋_GB2312" w:cs="仿宋_GB2312"/>
                <w:sz w:val="24"/>
                <w:szCs w:val="24"/>
                <w:lang w:eastAsia="zh-CN"/>
              </w:rPr>
              <w:t>盘活存量资产、</w:t>
            </w:r>
            <w:r>
              <w:rPr>
                <w:rFonts w:hint="eastAsia" w:ascii="仿宋_GB2312" w:hAnsi="仿宋_GB2312" w:eastAsia="仿宋_GB2312" w:cs="仿宋_GB2312"/>
                <w:sz w:val="24"/>
                <w:szCs w:val="24"/>
              </w:rPr>
              <w:t>运用权益工具等措施稳控资产负债率，努力提高发展质量。</w:t>
            </w:r>
          </w:p>
          <w:p w14:paraId="6EBC6DE9">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五、公司非经常性损益的的构成？</w:t>
            </w:r>
          </w:p>
          <w:p w14:paraId="2EA883A6">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答：2024年前三季度公司非经常性损益1.02亿元，主要系公司处置股权、房产、设备等，其中处置亳州建工股权产生非经常损益约0.6亿元。</w:t>
            </w:r>
          </w:p>
          <w:p w14:paraId="082DE642">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六、财政部10月12日发布的支持地方化债政策，对公司有哪些积极影响？公司是否感受到重点项目开工提速？</w:t>
            </w:r>
          </w:p>
          <w:p w14:paraId="44EDCB47">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中央出台相关政策加大力度支持地方化解债务风险，对建筑企业的应收账款回收和项目建设均有积极作用，有利于公司改善经营性现金流、加速在建项目建设进度。公司将继续密切关注政策动态，加强与政府部门</w:t>
            </w:r>
            <w:r>
              <w:rPr>
                <w:rFonts w:hint="eastAsia" w:ascii="仿宋_GB2312" w:hAnsi="仿宋_GB2312" w:eastAsia="仿宋_GB2312" w:cs="仿宋_GB2312"/>
                <w:bCs/>
                <w:sz w:val="24"/>
                <w:szCs w:val="24"/>
                <w:lang w:eastAsia="zh-CN"/>
              </w:rPr>
              <w:t>及业主单位</w:t>
            </w:r>
            <w:r>
              <w:rPr>
                <w:rFonts w:hint="eastAsia" w:ascii="仿宋_GB2312" w:hAnsi="仿宋_GB2312" w:eastAsia="仿宋_GB2312" w:cs="仿宋_GB2312"/>
                <w:bCs/>
                <w:sz w:val="24"/>
                <w:szCs w:val="24"/>
              </w:rPr>
              <w:t>的沟通协调，积极争取政策支持。四季度以来，公司积极对接重点项目，省内部分地市重点项目的审批</w:t>
            </w:r>
            <w:r>
              <w:rPr>
                <w:rFonts w:hint="eastAsia" w:ascii="仿宋_GB2312" w:hAnsi="仿宋_GB2312" w:eastAsia="仿宋_GB2312" w:cs="仿宋_GB2312"/>
                <w:bCs/>
                <w:sz w:val="24"/>
                <w:szCs w:val="24"/>
                <w:lang w:eastAsia="zh-CN"/>
              </w:rPr>
              <w:t>及开工</w:t>
            </w:r>
            <w:r>
              <w:rPr>
                <w:rFonts w:hint="eastAsia" w:ascii="仿宋_GB2312" w:hAnsi="仿宋_GB2312" w:eastAsia="仿宋_GB2312" w:cs="仿宋_GB2312"/>
                <w:bCs/>
                <w:sz w:val="24"/>
                <w:szCs w:val="24"/>
              </w:rPr>
              <w:t>进度有所加速。</w:t>
            </w:r>
          </w:p>
          <w:p w14:paraId="18090215">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七、终端需求方面，企业感受如何？</w:t>
            </w:r>
          </w:p>
          <w:p w14:paraId="2D04D6D7">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答：今年以来，建筑业整体下行压力加大，但随着中央出台一系列稳增长政策措施，有关省市在</w:t>
            </w:r>
            <w:r>
              <w:rPr>
                <w:rFonts w:hint="eastAsia" w:ascii="仿宋_GB2312" w:hAnsi="仿宋_GB2312" w:eastAsia="仿宋_GB2312" w:cs="仿宋_GB2312"/>
                <w:bCs/>
                <w:sz w:val="24"/>
                <w:szCs w:val="24"/>
                <w:lang w:eastAsia="zh-CN"/>
              </w:rPr>
              <w:t>工业制造、</w:t>
            </w:r>
            <w:r>
              <w:rPr>
                <w:rFonts w:hint="eastAsia" w:ascii="仿宋_GB2312" w:hAnsi="仿宋_GB2312" w:eastAsia="仿宋_GB2312" w:cs="仿宋_GB2312"/>
                <w:bCs/>
                <w:sz w:val="24"/>
                <w:szCs w:val="24"/>
              </w:rPr>
              <w:t>重大交通、水利工程、新型城镇化等领域加大投资，建筑业仍存在结构性机会。公司前三季度累计新签工程合同金额1,037.62亿元，同比增长2.21%。公司新签订单增长主要原因：一是</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十四五</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期间安徽加大对交通领域的投资力度，省内公路对标江浙沪补短板，公司积极把握政策机遇，前三季度公路桥梁业务新签订单实现71.79%的增长。二是万亿国债推动水利基础设施建设，公司发挥水利水电领域传统优势，前三季度水利工程业务新签订单实现333.41%的增长。</w:t>
            </w:r>
          </w:p>
          <w:p w14:paraId="1DFB888A">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八、安徽区域哪些基建需求较好？</w:t>
            </w:r>
          </w:p>
          <w:p w14:paraId="164A336A">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安徽省区位优势明显，是长三角一体化战略的重要区域，又是中部崛起、长江经济带等多重战略叠加覆盖的交汇点。未来在基础设施互联互通、新型城镇化推进、水资源安全保障和防灾减灾体系建设及现代产业体系建设等领域都拥有较大的发展空间。</w:t>
            </w:r>
          </w:p>
          <w:p w14:paraId="7FB56BC3">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九、省内高速公路目前进度如何？</w:t>
            </w:r>
          </w:p>
          <w:p w14:paraId="1AEEB87D">
            <w:pPr>
              <w:keepNext w:val="0"/>
              <w:keepLines w:val="0"/>
              <w:pageBreakBefore w:val="0"/>
              <w:widowControl/>
              <w:kinsoku/>
              <w:wordWrap/>
              <w:overflowPunct/>
              <w:topLinePunct w:val="0"/>
              <w:autoSpaceDE/>
              <w:autoSpaceDN/>
              <w:bidi w:val="0"/>
              <w:adjustRightInd/>
              <w:snapToGrid/>
              <w:spacing w:after="157" w:afterLines="50" w:line="480" w:lineRule="exact"/>
              <w:ind w:firstLine="480" w:firstLineChars="200"/>
              <w:jc w:val="left"/>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答：2024年安徽省交通</w:t>
            </w:r>
            <w:r>
              <w:rPr>
                <w:rFonts w:hint="eastAsia" w:ascii="仿宋_GB2312" w:hAnsi="仿宋_GB2312" w:eastAsia="仿宋_GB2312" w:cs="仿宋_GB2312"/>
                <w:bCs/>
                <w:sz w:val="24"/>
                <w:szCs w:val="24"/>
                <w:lang w:eastAsia="zh-CN"/>
              </w:rPr>
              <w:t>固定资产</w:t>
            </w:r>
            <w:r>
              <w:rPr>
                <w:rFonts w:hint="eastAsia" w:ascii="仿宋_GB2312" w:hAnsi="仿宋_GB2312" w:eastAsia="仿宋_GB2312" w:cs="仿宋_GB2312"/>
                <w:bCs/>
                <w:sz w:val="24"/>
                <w:szCs w:val="24"/>
              </w:rPr>
              <w:t>投资计划达到1</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00亿以上，前三季度已完成1</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70.10</w:t>
            </w:r>
            <w:r>
              <w:rPr>
                <w:rFonts w:hint="eastAsia" w:ascii="仿宋_GB2312" w:hAnsi="仿宋_GB2312" w:eastAsia="仿宋_GB2312" w:cs="仿宋_GB2312"/>
                <w:bCs/>
                <w:sz w:val="24"/>
                <w:szCs w:val="24"/>
              </w:rPr>
              <w:t>亿，完成全年计划的8</w:t>
            </w:r>
            <w:r>
              <w:rPr>
                <w:rFonts w:hint="eastAsia" w:ascii="仿宋_GB2312" w:hAnsi="仿宋_GB2312" w:eastAsia="仿宋_GB2312" w:cs="仿宋_GB2312"/>
                <w:bCs/>
                <w:sz w:val="24"/>
                <w:szCs w:val="24"/>
                <w:lang w:val="en-US" w:eastAsia="zh-CN"/>
              </w:rPr>
              <w:t>2.8</w:t>
            </w:r>
            <w:r>
              <w:rPr>
                <w:rFonts w:hint="eastAsia" w:ascii="仿宋_GB2312" w:hAnsi="仿宋_GB2312" w:eastAsia="仿宋_GB2312" w:cs="仿宋_GB2312"/>
                <w:bCs/>
                <w:sz w:val="24"/>
                <w:szCs w:val="24"/>
              </w:rPr>
              <w:t>%，同比增长6.2%，其中高速公路已经完成673亿</w:t>
            </w:r>
            <w:r>
              <w:rPr>
                <w:rFonts w:hint="eastAsia" w:ascii="仿宋_GB2312" w:hAnsi="仿宋_GB2312" w:eastAsia="仿宋_GB2312" w:cs="仿宋_GB2312"/>
                <w:bCs/>
                <w:sz w:val="24"/>
                <w:szCs w:val="24"/>
                <w:lang w:eastAsia="zh-CN"/>
              </w:rPr>
              <w:t>元，</w:t>
            </w:r>
            <w:r>
              <w:rPr>
                <w:rFonts w:hint="eastAsia" w:ascii="仿宋_GB2312" w:hAnsi="仿宋_GB2312" w:eastAsia="仿宋_GB2312" w:cs="仿宋_GB2312"/>
                <w:bCs/>
                <w:i w:val="0"/>
                <w:caps w:val="0"/>
                <w:color w:val="333333"/>
                <w:spacing w:val="0"/>
                <w:kern w:val="2"/>
                <w:sz w:val="24"/>
                <w:szCs w:val="24"/>
                <w:shd w:val="clear" w:fill="FFFFFF"/>
                <w:lang w:val="en-US" w:eastAsia="zh-CN" w:bidi="ar"/>
              </w:rPr>
              <w:t>占年度计划任务的76.4%，同比增长14.4%</w:t>
            </w:r>
            <w:r>
              <w:rPr>
                <w:rFonts w:hint="eastAsia" w:ascii="仿宋_GB2312" w:hAnsi="仿宋_GB2312" w:eastAsia="仿宋_GB2312" w:cs="仿宋_GB2312"/>
                <w:bCs/>
                <w:sz w:val="24"/>
                <w:szCs w:val="24"/>
              </w:rPr>
              <w:t>。目前公司中标的几条</w:t>
            </w:r>
            <w:r>
              <w:rPr>
                <w:rFonts w:hint="eastAsia" w:ascii="仿宋_GB2312" w:hAnsi="仿宋_GB2312" w:eastAsia="仿宋_GB2312" w:cs="仿宋_GB2312"/>
                <w:bCs/>
                <w:sz w:val="24"/>
                <w:szCs w:val="24"/>
                <w:lang w:val="en-US" w:eastAsia="zh-CN"/>
              </w:rPr>
              <w:t>BOT</w:t>
            </w:r>
            <w:r>
              <w:rPr>
                <w:rFonts w:hint="eastAsia" w:ascii="仿宋_GB2312" w:hAnsi="仿宋_GB2312" w:eastAsia="仿宋_GB2312" w:cs="仿宋_GB2312"/>
                <w:bCs/>
                <w:sz w:val="24"/>
                <w:szCs w:val="24"/>
              </w:rPr>
              <w:t>高速公路正在全力推进</w:t>
            </w:r>
            <w:r>
              <w:rPr>
                <w:rFonts w:hint="eastAsia" w:ascii="仿宋_GB2312" w:hAnsi="仿宋_GB2312" w:eastAsia="仿宋_GB2312" w:cs="仿宋_GB2312"/>
                <w:bCs/>
                <w:sz w:val="24"/>
                <w:szCs w:val="24"/>
                <w:lang w:eastAsia="zh-CN"/>
              </w:rPr>
              <w:t>建设及筹划开工</w:t>
            </w:r>
            <w:r>
              <w:rPr>
                <w:rFonts w:hint="eastAsia" w:ascii="仿宋_GB2312" w:hAnsi="仿宋_GB2312" w:eastAsia="仿宋_GB2312" w:cs="仿宋_GB2312"/>
                <w:bCs/>
                <w:sz w:val="24"/>
                <w:szCs w:val="24"/>
              </w:rPr>
              <w:t>。</w:t>
            </w:r>
          </w:p>
          <w:p w14:paraId="602A7959">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十、公司承接的水利工程项目主要包括哪几类？订单的持续性和前景如何？</w:t>
            </w:r>
          </w:p>
          <w:p w14:paraId="0DD712E5">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前三季度，公司水利工程新签合同额96.13亿元，承接的项目主要为整治和治理类项目，包括水系治理和灾害治理。安徽省水利投资建设增长，安徽水利工程市场预期较好。公司在水利工程领域有良好业绩，刚刚获批水利水电工程特级资质，将进一步增强公司的市场开拓能力。</w:t>
            </w:r>
          </w:p>
          <w:p w14:paraId="1B6D82A2">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十一、公司水利工程和港航工程订单增长较快，是否有助于毛利率的提升？</w:t>
            </w:r>
          </w:p>
          <w:p w14:paraId="341B6D4D">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答：2024年前三季度，公司水利工程新签合同额同比增长333.41%，但在订单总额中占比不高。水利工程项目毛利率与房建、市政、路桥等项目相比相对较高</w:t>
            </w:r>
            <w:r>
              <w:rPr>
                <w:rFonts w:hint="eastAsia" w:ascii="仿宋_GB2312" w:hAnsi="仿宋_GB2312" w:eastAsia="仿宋_GB2312" w:cs="仿宋_GB2312"/>
                <w:bCs/>
                <w:sz w:val="24"/>
                <w:szCs w:val="24"/>
                <w:lang w:val="en-US" w:eastAsia="zh-CN"/>
              </w:rPr>
              <w:t>,</w:t>
            </w:r>
            <w:bookmarkStart w:id="0" w:name="_GoBack"/>
            <w:bookmarkEnd w:id="0"/>
            <w:r>
              <w:rPr>
                <w:rFonts w:hint="eastAsia" w:ascii="仿宋_GB2312" w:hAnsi="仿宋_GB2312" w:eastAsia="仿宋_GB2312" w:cs="仿宋_GB2312"/>
                <w:bCs/>
                <w:sz w:val="24"/>
                <w:szCs w:val="24"/>
              </w:rPr>
              <w:t>资金支付相对较好，但施工周期较长，可能要到2025年后对毛利率产生积极贡献。下一步，公司将持续跟踪和承接毛利率较高的水利工程项目，力争提升比重，从而增强公司整体盈利能力。</w:t>
            </w:r>
          </w:p>
          <w:p w14:paraId="31450089">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十</w:t>
            </w:r>
            <w:r>
              <w:rPr>
                <w:rFonts w:hint="eastAsia" w:ascii="楷体" w:hAnsi="楷体" w:eastAsia="楷体" w:cs="仿宋_GB2312"/>
                <w:b/>
                <w:bCs/>
                <w:sz w:val="24"/>
                <w:szCs w:val="24"/>
                <w:lang w:val="en-US" w:eastAsia="zh-CN"/>
              </w:rPr>
              <w:t>二</w:t>
            </w:r>
            <w:r>
              <w:rPr>
                <w:rFonts w:hint="eastAsia" w:ascii="楷体" w:hAnsi="楷体" w:eastAsia="楷体" w:cs="仿宋_GB2312"/>
                <w:b/>
                <w:bCs/>
                <w:sz w:val="24"/>
                <w:szCs w:val="24"/>
              </w:rPr>
              <w:t>、公司房建业务中工业园区项目订单占比如何？</w:t>
            </w:r>
          </w:p>
          <w:p w14:paraId="37B80CC2">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2023年以来，公司房建业务订单主要包括工业园区厂房、城市公共建筑、保障房等，业务结构持续改善。2024年前三季度，公司房建工程新签合同额292.24亿元，工业园区类房建项目占比超过50%，其余为保障房和公共建筑项目等。</w:t>
            </w:r>
          </w:p>
          <w:p w14:paraId="1618EA8A">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楷体" w:hAnsi="楷体" w:eastAsia="楷体" w:cs="仿宋_GB2312"/>
                <w:b/>
                <w:bCs/>
                <w:sz w:val="24"/>
                <w:szCs w:val="24"/>
              </w:rPr>
            </w:pPr>
            <w:r>
              <w:rPr>
                <w:rFonts w:hint="eastAsia" w:ascii="楷体" w:hAnsi="楷体" w:eastAsia="楷体" w:cs="仿宋_GB2312"/>
                <w:b/>
                <w:bCs/>
                <w:sz w:val="24"/>
                <w:szCs w:val="24"/>
              </w:rPr>
              <w:t>十</w:t>
            </w:r>
            <w:r>
              <w:rPr>
                <w:rFonts w:hint="eastAsia" w:ascii="楷体" w:hAnsi="楷体" w:eastAsia="楷体" w:cs="仿宋_GB2312"/>
                <w:b/>
                <w:bCs/>
                <w:sz w:val="24"/>
                <w:szCs w:val="24"/>
                <w:lang w:val="en-US" w:eastAsia="zh-CN"/>
              </w:rPr>
              <w:t>三</w:t>
            </w:r>
            <w:r>
              <w:rPr>
                <w:rFonts w:hint="eastAsia" w:ascii="楷体" w:hAnsi="楷体" w:eastAsia="楷体" w:cs="仿宋_GB2312"/>
                <w:b/>
                <w:bCs/>
                <w:sz w:val="24"/>
                <w:szCs w:val="24"/>
              </w:rPr>
              <w:t>、新签合同额转化为营业收入需要多长时间？</w:t>
            </w:r>
          </w:p>
          <w:p w14:paraId="766968DE">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不同类型项目从签订合同到形成实物工作量并确认营业收入所需的时间不尽相同。房建工程、市政工程大致需要1-2个月，公路桥梁、水利工程大约4-6个月，基建投资项目因审批手续复杂，则普遍需要6个月以上甚至更长时间。</w:t>
            </w:r>
          </w:p>
          <w:p w14:paraId="4413D62C">
            <w:pPr>
              <w:pStyle w:val="10"/>
              <w:keepNext w:val="0"/>
              <w:keepLines w:val="0"/>
              <w:pageBreakBefore w:val="0"/>
              <w:kinsoku/>
              <w:wordWrap/>
              <w:overflowPunct/>
              <w:topLinePunct w:val="0"/>
              <w:autoSpaceDE/>
              <w:autoSpaceDN/>
              <w:bidi w:val="0"/>
              <w:adjustRightInd/>
              <w:snapToGrid/>
              <w:spacing w:after="157" w:afterLines="50" w:line="480" w:lineRule="exact"/>
              <w:ind w:firstLine="482" w:firstLineChars="200"/>
              <w:textAlignment w:val="auto"/>
              <w:rPr>
                <w:rFonts w:ascii="仿宋_GB2312" w:hAnsi="仿宋_GB2312" w:eastAsia="仿宋_GB2312" w:cs="仿宋_GB2312"/>
                <w:bCs/>
                <w:sz w:val="24"/>
                <w:szCs w:val="24"/>
              </w:rPr>
            </w:pPr>
            <w:r>
              <w:rPr>
                <w:rFonts w:hint="eastAsia" w:ascii="楷体" w:hAnsi="楷体" w:eastAsia="楷体" w:cs="仿宋_GB2312"/>
                <w:b/>
                <w:bCs/>
                <w:sz w:val="24"/>
                <w:szCs w:val="24"/>
              </w:rPr>
              <w:t>十</w:t>
            </w:r>
            <w:r>
              <w:rPr>
                <w:rFonts w:hint="eastAsia" w:ascii="楷体" w:hAnsi="楷体" w:eastAsia="楷体" w:cs="仿宋_GB2312"/>
                <w:b/>
                <w:bCs/>
                <w:sz w:val="24"/>
                <w:szCs w:val="24"/>
                <w:lang w:val="en-US" w:eastAsia="zh-CN"/>
              </w:rPr>
              <w:t>四</w:t>
            </w:r>
            <w:r>
              <w:rPr>
                <w:rFonts w:hint="eastAsia" w:ascii="楷体" w:hAnsi="楷体" w:eastAsia="楷体" w:cs="仿宋_GB2312"/>
                <w:b/>
                <w:bCs/>
                <w:sz w:val="24"/>
                <w:szCs w:val="24"/>
              </w:rPr>
              <w:t>、公司分红政策如何展望？</w:t>
            </w:r>
          </w:p>
          <w:p w14:paraId="663448E2">
            <w:pPr>
              <w:pStyle w:val="10"/>
              <w:keepNext w:val="0"/>
              <w:keepLines w:val="0"/>
              <w:pageBreakBefore w:val="0"/>
              <w:kinsoku/>
              <w:wordWrap/>
              <w:overflowPunct/>
              <w:topLinePunct w:val="0"/>
              <w:autoSpaceDE/>
              <w:autoSpaceDN/>
              <w:bidi w:val="0"/>
              <w:adjustRightInd/>
              <w:snapToGrid/>
              <w:spacing w:after="157" w:afterLines="50" w:line="480" w:lineRule="exact"/>
              <w:ind w:firstLine="480" w:firstLineChars="200"/>
              <w:textAlignment w:val="auto"/>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答：公司紧盯年度目标任务，尽最大努力创造利润，争取更多资金回流，为利润分配创造条件。分红方面将响应国家政策，并统筹业绩增长与股东回报的动态平衡，努力与投资者共享发展成果。</w:t>
            </w:r>
          </w:p>
        </w:tc>
      </w:tr>
    </w:tbl>
    <w:p w14:paraId="5DD37CE7">
      <w:pPr>
        <w:spacing w:beforeLines="5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81BE631-7033-4606-8484-A69895C91B3A}"/>
  </w:font>
  <w:font w:name="仿宋_GB2312">
    <w:panose1 w:val="02010609030101010101"/>
    <w:charset w:val="86"/>
    <w:family w:val="modern"/>
    <w:pitch w:val="default"/>
    <w:sig w:usb0="00000001" w:usb1="080E0000" w:usb2="00000000" w:usb3="00000000" w:csb0="00040000" w:csb1="00000000"/>
    <w:embedRegular r:id="rId2" w:fontKey="{9ED9EF35-D644-41C2-AD94-3437A8C50927}"/>
  </w:font>
  <w:font w:name="楷体">
    <w:panose1 w:val="02010609060101010101"/>
    <w:charset w:val="86"/>
    <w:family w:val="modern"/>
    <w:pitch w:val="default"/>
    <w:sig w:usb0="800002BF" w:usb1="38CF7CFA" w:usb2="00000016" w:usb3="00000000" w:csb0="00040001" w:csb1="00000000"/>
    <w:embedRegular r:id="rId3" w:fontKey="{B5E5DA6B-89A3-4C6C-A653-A23EA5467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508"/>
    </w:sdtPr>
    <w:sdtContent>
      <w:p w14:paraId="3841B83D">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5879093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ZDI1NGE1NTI4MWIxYTIzNjljZDNmMTIzMzhmNjAifQ=="/>
  </w:docVars>
  <w:rsids>
    <w:rsidRoot w:val="00047C66"/>
    <w:rsid w:val="000008C1"/>
    <w:rsid w:val="00006009"/>
    <w:rsid w:val="00026181"/>
    <w:rsid w:val="0004550C"/>
    <w:rsid w:val="00047C66"/>
    <w:rsid w:val="00071FBC"/>
    <w:rsid w:val="000C2CD9"/>
    <w:rsid w:val="000F21A6"/>
    <w:rsid w:val="000F51DA"/>
    <w:rsid w:val="001069DE"/>
    <w:rsid w:val="001179A6"/>
    <w:rsid w:val="00127E0C"/>
    <w:rsid w:val="00130570"/>
    <w:rsid w:val="001579DD"/>
    <w:rsid w:val="00170270"/>
    <w:rsid w:val="00197E28"/>
    <w:rsid w:val="001A40AF"/>
    <w:rsid w:val="001B0F6D"/>
    <w:rsid w:val="001B64AD"/>
    <w:rsid w:val="001C7557"/>
    <w:rsid w:val="001F5B00"/>
    <w:rsid w:val="00216AA1"/>
    <w:rsid w:val="0022284F"/>
    <w:rsid w:val="00225BD2"/>
    <w:rsid w:val="0023330C"/>
    <w:rsid w:val="00233769"/>
    <w:rsid w:val="00242197"/>
    <w:rsid w:val="002608D9"/>
    <w:rsid w:val="002A09E1"/>
    <w:rsid w:val="002A1053"/>
    <w:rsid w:val="002B3EC8"/>
    <w:rsid w:val="002C4584"/>
    <w:rsid w:val="002D315C"/>
    <w:rsid w:val="00321E06"/>
    <w:rsid w:val="0033295B"/>
    <w:rsid w:val="00375047"/>
    <w:rsid w:val="00391F10"/>
    <w:rsid w:val="00393C50"/>
    <w:rsid w:val="003B2DF4"/>
    <w:rsid w:val="003F25B9"/>
    <w:rsid w:val="003F4867"/>
    <w:rsid w:val="0040181B"/>
    <w:rsid w:val="0040518C"/>
    <w:rsid w:val="00431DC9"/>
    <w:rsid w:val="00432518"/>
    <w:rsid w:val="00442FE6"/>
    <w:rsid w:val="00460BAE"/>
    <w:rsid w:val="00473860"/>
    <w:rsid w:val="00487F4B"/>
    <w:rsid w:val="004B2DA9"/>
    <w:rsid w:val="004E2B4F"/>
    <w:rsid w:val="00506C73"/>
    <w:rsid w:val="005142DC"/>
    <w:rsid w:val="00525C93"/>
    <w:rsid w:val="005316C2"/>
    <w:rsid w:val="005538A8"/>
    <w:rsid w:val="005A3FCE"/>
    <w:rsid w:val="005B1418"/>
    <w:rsid w:val="005D48C5"/>
    <w:rsid w:val="005D7F28"/>
    <w:rsid w:val="005E41B4"/>
    <w:rsid w:val="005E4F69"/>
    <w:rsid w:val="005F16A7"/>
    <w:rsid w:val="00616E8E"/>
    <w:rsid w:val="00623D61"/>
    <w:rsid w:val="00635F0C"/>
    <w:rsid w:val="00652116"/>
    <w:rsid w:val="00656537"/>
    <w:rsid w:val="00660580"/>
    <w:rsid w:val="00661B84"/>
    <w:rsid w:val="00673B08"/>
    <w:rsid w:val="006B25D5"/>
    <w:rsid w:val="006C515B"/>
    <w:rsid w:val="006D64B3"/>
    <w:rsid w:val="00700445"/>
    <w:rsid w:val="00725329"/>
    <w:rsid w:val="00761DCC"/>
    <w:rsid w:val="00774BBA"/>
    <w:rsid w:val="00781E72"/>
    <w:rsid w:val="0078433E"/>
    <w:rsid w:val="0079314C"/>
    <w:rsid w:val="007B5805"/>
    <w:rsid w:val="007C6C03"/>
    <w:rsid w:val="007F5BEF"/>
    <w:rsid w:val="00815723"/>
    <w:rsid w:val="00820E97"/>
    <w:rsid w:val="0083157B"/>
    <w:rsid w:val="00832799"/>
    <w:rsid w:val="00845134"/>
    <w:rsid w:val="00846290"/>
    <w:rsid w:val="00880F54"/>
    <w:rsid w:val="008C595F"/>
    <w:rsid w:val="008D69D3"/>
    <w:rsid w:val="008F14C9"/>
    <w:rsid w:val="00915128"/>
    <w:rsid w:val="00916FA0"/>
    <w:rsid w:val="00940077"/>
    <w:rsid w:val="009546E0"/>
    <w:rsid w:val="009736D1"/>
    <w:rsid w:val="0097740D"/>
    <w:rsid w:val="009778A2"/>
    <w:rsid w:val="009A4DBD"/>
    <w:rsid w:val="009A623D"/>
    <w:rsid w:val="009B642D"/>
    <w:rsid w:val="009D13A2"/>
    <w:rsid w:val="009E737E"/>
    <w:rsid w:val="00A032E6"/>
    <w:rsid w:val="00A066CF"/>
    <w:rsid w:val="00A32B2E"/>
    <w:rsid w:val="00A42B05"/>
    <w:rsid w:val="00A640BF"/>
    <w:rsid w:val="00A9433F"/>
    <w:rsid w:val="00AD6BB5"/>
    <w:rsid w:val="00AF2527"/>
    <w:rsid w:val="00AF265A"/>
    <w:rsid w:val="00B41128"/>
    <w:rsid w:val="00B45E40"/>
    <w:rsid w:val="00B55170"/>
    <w:rsid w:val="00B56867"/>
    <w:rsid w:val="00B57718"/>
    <w:rsid w:val="00B57880"/>
    <w:rsid w:val="00B92629"/>
    <w:rsid w:val="00BB21FB"/>
    <w:rsid w:val="00BC48CE"/>
    <w:rsid w:val="00BE034A"/>
    <w:rsid w:val="00BE36DC"/>
    <w:rsid w:val="00BE3DCE"/>
    <w:rsid w:val="00C103E0"/>
    <w:rsid w:val="00C17BDE"/>
    <w:rsid w:val="00C21878"/>
    <w:rsid w:val="00C35CC7"/>
    <w:rsid w:val="00C56CCF"/>
    <w:rsid w:val="00CB08F0"/>
    <w:rsid w:val="00CC1B21"/>
    <w:rsid w:val="00CC6754"/>
    <w:rsid w:val="00CD2F4A"/>
    <w:rsid w:val="00CD7497"/>
    <w:rsid w:val="00CE650F"/>
    <w:rsid w:val="00D130E4"/>
    <w:rsid w:val="00D2613B"/>
    <w:rsid w:val="00D33257"/>
    <w:rsid w:val="00D367D8"/>
    <w:rsid w:val="00D40726"/>
    <w:rsid w:val="00D5374F"/>
    <w:rsid w:val="00D65031"/>
    <w:rsid w:val="00D6679C"/>
    <w:rsid w:val="00D874C7"/>
    <w:rsid w:val="00D95344"/>
    <w:rsid w:val="00DA24F3"/>
    <w:rsid w:val="00DC1C66"/>
    <w:rsid w:val="00DF6D06"/>
    <w:rsid w:val="00E43623"/>
    <w:rsid w:val="00E746C6"/>
    <w:rsid w:val="00E84C82"/>
    <w:rsid w:val="00E90425"/>
    <w:rsid w:val="00EC6C7A"/>
    <w:rsid w:val="00ED3EB3"/>
    <w:rsid w:val="00EF0464"/>
    <w:rsid w:val="00F443E3"/>
    <w:rsid w:val="00F509E1"/>
    <w:rsid w:val="00F7795C"/>
    <w:rsid w:val="00F85755"/>
    <w:rsid w:val="00FD7F0E"/>
    <w:rsid w:val="00FF4308"/>
    <w:rsid w:val="033C0E47"/>
    <w:rsid w:val="072440CC"/>
    <w:rsid w:val="076300FB"/>
    <w:rsid w:val="082F73A0"/>
    <w:rsid w:val="08964FFF"/>
    <w:rsid w:val="09181A0E"/>
    <w:rsid w:val="0E9B2A63"/>
    <w:rsid w:val="10DE0FD0"/>
    <w:rsid w:val="129F4368"/>
    <w:rsid w:val="1961203C"/>
    <w:rsid w:val="1A4038DA"/>
    <w:rsid w:val="1BC54E41"/>
    <w:rsid w:val="1C2A4835"/>
    <w:rsid w:val="1D195CFD"/>
    <w:rsid w:val="1DEE64EF"/>
    <w:rsid w:val="208400F2"/>
    <w:rsid w:val="24736A6F"/>
    <w:rsid w:val="25386437"/>
    <w:rsid w:val="27822107"/>
    <w:rsid w:val="2A447ED5"/>
    <w:rsid w:val="2D074F39"/>
    <w:rsid w:val="30CD6E71"/>
    <w:rsid w:val="32AA4024"/>
    <w:rsid w:val="38500282"/>
    <w:rsid w:val="38E473A6"/>
    <w:rsid w:val="39AD1AA5"/>
    <w:rsid w:val="3B7A328E"/>
    <w:rsid w:val="3C5658B9"/>
    <w:rsid w:val="3C965C46"/>
    <w:rsid w:val="3D2843C2"/>
    <w:rsid w:val="3D6E364A"/>
    <w:rsid w:val="3D76048F"/>
    <w:rsid w:val="3DC42D79"/>
    <w:rsid w:val="424B3B65"/>
    <w:rsid w:val="43813589"/>
    <w:rsid w:val="43891965"/>
    <w:rsid w:val="4E966638"/>
    <w:rsid w:val="53BE7C8C"/>
    <w:rsid w:val="557D01D9"/>
    <w:rsid w:val="57543DE6"/>
    <w:rsid w:val="5A8C2404"/>
    <w:rsid w:val="5D366A4F"/>
    <w:rsid w:val="5D782918"/>
    <w:rsid w:val="60A66F3D"/>
    <w:rsid w:val="626A1A75"/>
    <w:rsid w:val="62BC033D"/>
    <w:rsid w:val="63400ABB"/>
    <w:rsid w:val="6410456A"/>
    <w:rsid w:val="66CA23F0"/>
    <w:rsid w:val="67641A1E"/>
    <w:rsid w:val="68CF03AB"/>
    <w:rsid w:val="6C0B14A5"/>
    <w:rsid w:val="6CF44575"/>
    <w:rsid w:val="6E0B396F"/>
    <w:rsid w:val="6EAB42FF"/>
    <w:rsid w:val="6EDB30D6"/>
    <w:rsid w:val="704E2A69"/>
    <w:rsid w:val="75E04405"/>
    <w:rsid w:val="7A011360"/>
    <w:rsid w:val="7F737DF6"/>
    <w:rsid w:val="BFDD7A1A"/>
    <w:rsid w:val="FF8FD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6">
    <w:name w:val="Normal (Web)"/>
    <w:basedOn w:val="1"/>
    <w:unhideWhenUsed/>
    <w:qFormat/>
    <w:uiPriority w:val="99"/>
    <w:pPr>
      <w:widowControl/>
      <w:spacing w:after="150" w:line="330" w:lineRule="atLeast"/>
      <w:jc w:val="left"/>
    </w:pPr>
    <w:rPr>
      <w:rFonts w:ascii="宋体" w:hAnsi="宋体" w:eastAsia="宋体" w:cs="宋体"/>
      <w:color w:val="171F46"/>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列出段落1"/>
    <w:basedOn w:val="1"/>
    <w:next w:val="1"/>
    <w:qFormat/>
    <w:uiPriority w:val="34"/>
    <w:pPr>
      <w:ind w:left="720"/>
      <w:contextualSpacing/>
    </w:pPr>
  </w:style>
  <w:style w:type="character" w:customStyle="1" w:styleId="12">
    <w:name w:val="页眉 Char"/>
    <w:basedOn w:val="9"/>
    <w:link w:val="4"/>
    <w:qFormat/>
    <w:uiPriority w:val="0"/>
    <w:rPr>
      <w:rFonts w:asciiTheme="minorHAnsi" w:hAnsiTheme="minorHAnsi" w:eastAsiaTheme="minorEastAsia" w:cstheme="minorBidi"/>
      <w:kern w:val="2"/>
      <w:sz w:val="18"/>
      <w:szCs w:val="18"/>
    </w:rPr>
  </w:style>
  <w:style w:type="character" w:customStyle="1" w:styleId="13">
    <w:name w:val="页脚 Char"/>
    <w:basedOn w:val="9"/>
    <w:link w:val="3"/>
    <w:qFormat/>
    <w:uiPriority w:val="99"/>
    <w:rPr>
      <w:rFonts w:asciiTheme="minorHAnsi" w:hAnsiTheme="minorHAnsi" w:eastAsiaTheme="minorEastAsia" w:cstheme="minorBidi"/>
      <w:kern w:val="2"/>
      <w:sz w:val="18"/>
      <w:szCs w:val="18"/>
    </w:rPr>
  </w:style>
  <w:style w:type="paragraph" w:customStyle="1" w:styleId="14">
    <w:name w:val="pagenumber"/>
    <w:basedOn w:val="1"/>
    <w:qFormat/>
    <w:uiPriority w:val="0"/>
    <w:pPr>
      <w:widowControl/>
      <w:spacing w:after="150" w:line="330" w:lineRule="atLeast"/>
      <w:jc w:val="left"/>
    </w:pPr>
    <w:rPr>
      <w:rFonts w:ascii="宋体" w:hAnsi="宋体" w:eastAsia="宋体" w:cs="宋体"/>
      <w:color w:val="171F46"/>
      <w:kern w:val="0"/>
      <w:sz w:val="24"/>
      <w:szCs w:val="24"/>
    </w:rPr>
  </w:style>
  <w:style w:type="character" w:customStyle="1" w:styleId="15">
    <w:name w:val="wx_search_keyword_wrap"/>
    <w:basedOn w:val="9"/>
    <w:qFormat/>
    <w:uiPriority w:val="0"/>
  </w:style>
  <w:style w:type="character" w:customStyle="1" w:styleId="16">
    <w:name w:val="批注框文本 Char"/>
    <w:basedOn w:val="9"/>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2619</Words>
  <Characters>2823</Characters>
  <Lines>20</Lines>
  <Paragraphs>5</Paragraphs>
  <TotalTime>19</TotalTime>
  <ScaleCrop>false</ScaleCrop>
  <LinksUpToDate>false</LinksUpToDate>
  <CharactersWithSpaces>2902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2024-10-12T12:02:00Z</dcterms:created>
  <dc:creator>HP</dc:creator>
  <cp:lastModifiedBy>☔️</cp:lastModifiedBy>
  <cp:lastPrinted>2024-11-07T07:06:00Z</cp:lastPrinted>
  <dcterms:modified xsi:type="dcterms:W3CDTF">2024-11-07T07:21:54Z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360EB6DD9AC9455CA669ACE8125047CC_12</vt:lpwstr>
  </property>
</Properties>
</file>