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485E1CF2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编号：2024-00</w:t>
      </w:r>
      <w:r w:rsidR="004D4D05">
        <w:rPr>
          <w:rStyle w:val="NormalCharacter"/>
          <w:rFonts w:ascii="宋体" w:hAnsi="宋体"/>
          <w:bCs/>
          <w:iCs/>
          <w:sz w:val="24"/>
        </w:rPr>
        <w:t>6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675E689D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4D4D05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56464C1B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4D4D05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5594911A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参与机构：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浙商证券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、中金证券、国金证券、天风证券、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中信证券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、信达证券、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华夏基金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交银施罗德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仁桥(北京)资产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前海人寿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财通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资管、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中信保诚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东方证券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前海开源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泰康基金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天弘基金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中信期货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永赢基金</w:t>
            </w:r>
            <w:r w:rsidR="00416046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r w:rsidR="00416046" w:rsidRPr="00416046">
              <w:rPr>
                <w:rFonts w:ascii="宋体" w:hAnsi="宋体" w:hint="eastAsia"/>
                <w:bCs/>
                <w:sz w:val="24"/>
                <w:szCs w:val="22"/>
              </w:rPr>
              <w:t>高毅资管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190806">
              <w:rPr>
                <w:rFonts w:ascii="宋体" w:hAnsi="宋体"/>
                <w:bCs/>
                <w:sz w:val="24"/>
                <w:szCs w:val="22"/>
              </w:rPr>
              <w:t>212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人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次</w:t>
            </w:r>
            <w:r w:rsidR="00190806">
              <w:rPr>
                <w:rFonts w:ascii="宋体" w:hAnsi="宋体" w:hint="eastAsia"/>
                <w:bCs/>
                <w:sz w:val="24"/>
                <w:szCs w:val="22"/>
              </w:rPr>
              <w:t>，同时上证路演中心点击量超过千次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0E87F3E7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4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9B2B5B">
              <w:rPr>
                <w:rStyle w:val="NormalCharacter"/>
                <w:rFonts w:ascii="宋体" w:hAnsi="宋体"/>
                <w:bCs/>
                <w:iCs/>
                <w:sz w:val="24"/>
              </w:rPr>
              <w:t>10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9B2B5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3</w:t>
            </w:r>
            <w:r w:rsidR="009B2B5B">
              <w:rPr>
                <w:rStyle w:val="NormalCharacter"/>
                <w:rFonts w:ascii="宋体" w:hAnsi="宋体"/>
                <w:bCs/>
                <w:iCs/>
                <w:sz w:val="24"/>
              </w:rPr>
              <w:t>0</w:t>
            </w:r>
            <w:r w:rsidR="009B2B5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日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672BDCBB" w:rsidR="00A8351D" w:rsidRDefault="009B2B5B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上证路演中心及第三方线上平台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CC17" w14:textId="498F9221" w:rsidR="00190806" w:rsidRDefault="00190806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执行董事、总裁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沈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波</w:t>
            </w:r>
          </w:p>
          <w:p w14:paraId="0E3CA2A5" w14:textId="76836A56" w:rsidR="00190806" w:rsidRDefault="00190806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执行董事、执行总裁 李永忠</w:t>
            </w:r>
          </w:p>
          <w:p w14:paraId="6BB5EAF2" w14:textId="3BD24F65" w:rsidR="003D4770" w:rsidRPr="00B52F84" w:rsidRDefault="0038097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副总裁、董事会秘书 钟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涛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B2" w14:textId="75F39E28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 w:rsidR="008C1581" w:rsidRPr="008C15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上海前沿未来的拓展模式</w:t>
            </w:r>
            <w:r w:rsidR="008C15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如何？</w:t>
            </w:r>
          </w:p>
          <w:p w14:paraId="484E75A9" w14:textId="3955BEB7" w:rsidR="00A8351D" w:rsidRDefault="00380974" w:rsidP="008C158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8C1581" w:rsidRPr="008C1581">
              <w:rPr>
                <w:rFonts w:ascii="宋体" w:hAnsi="宋体" w:cs="宋体" w:hint="eastAsia"/>
                <w:kern w:val="0"/>
                <w:sz w:val="24"/>
              </w:rPr>
              <w:t>公司依托上海前沿打造开源创新生态，积极发挥“链主”作用，集合“产学研医资”等资源，推进创新成果转化和产业化</w:t>
            </w:r>
            <w:r w:rsidR="00A03234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C1581">
              <w:rPr>
                <w:rFonts w:ascii="宋体" w:hAnsi="宋体" w:cs="宋体" w:hint="eastAsia"/>
                <w:kern w:val="0"/>
                <w:sz w:val="24"/>
              </w:rPr>
              <w:t>近期已和多家企业取得合作</w:t>
            </w:r>
            <w:r w:rsidR="00A03234">
              <w:rPr>
                <w:rFonts w:ascii="宋体" w:hAnsi="宋体" w:cs="宋体" w:hint="eastAsia"/>
                <w:kern w:val="0"/>
                <w:sz w:val="24"/>
              </w:rPr>
              <w:t>，并正在与多家企业洽谈。未来，上海医药将通过上海前沿</w:t>
            </w:r>
            <w:r w:rsidR="008378E7">
              <w:rPr>
                <w:rFonts w:ascii="宋体" w:hAnsi="宋体" w:cs="宋体" w:hint="eastAsia"/>
                <w:kern w:val="0"/>
                <w:sz w:val="24"/>
              </w:rPr>
              <w:t>的平台，对公司</w:t>
            </w:r>
            <w:r w:rsidR="00CF7BEE">
              <w:rPr>
                <w:rFonts w:ascii="宋体" w:hAnsi="宋体" w:cs="宋体" w:hint="eastAsia"/>
                <w:kern w:val="0"/>
                <w:sz w:val="24"/>
              </w:rPr>
              <w:t>的研发</w:t>
            </w:r>
            <w:r w:rsidR="008378E7">
              <w:rPr>
                <w:rFonts w:ascii="宋体" w:hAnsi="宋体" w:cs="宋体" w:hint="eastAsia"/>
                <w:kern w:val="0"/>
                <w:sz w:val="24"/>
              </w:rPr>
              <w:t>管线进行赋能，为创新驱动发展保驾护航。</w:t>
            </w:r>
          </w:p>
          <w:p w14:paraId="0504BE1F" w14:textId="77777777" w:rsidR="00A8351D" w:rsidRPr="00CF7BEE" w:rsidRDefault="00A8351D">
            <w:pPr>
              <w:spacing w:line="276" w:lineRule="auto"/>
              <w:jc w:val="left"/>
            </w:pPr>
          </w:p>
          <w:p w14:paraId="21FE6A0E" w14:textId="6D3FD41B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8378E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工业降本增效及营销体系改革进展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383756CE" w14:textId="1C5ACD1D" w:rsidR="00A8351D" w:rsidRDefault="00380974" w:rsidP="002B58A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8378E7">
              <w:rPr>
                <w:rFonts w:ascii="宋体" w:hAnsi="宋体" w:cs="宋体" w:hint="eastAsia"/>
                <w:kern w:val="0"/>
                <w:sz w:val="24"/>
              </w:rPr>
              <w:t>上海医药积极调整产业布局，产品端对于产品</w:t>
            </w:r>
            <w:r w:rsidR="002A0449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8378E7">
              <w:rPr>
                <w:rFonts w:ascii="宋体" w:hAnsi="宋体" w:cs="宋体" w:hint="eastAsia"/>
                <w:kern w:val="0"/>
                <w:sz w:val="24"/>
              </w:rPr>
              <w:t>迭代不断进行梳理，休眠品种</w:t>
            </w:r>
            <w:r w:rsidR="002A0449">
              <w:rPr>
                <w:rFonts w:ascii="宋体" w:hAnsi="宋体" w:cs="宋体" w:hint="eastAsia"/>
                <w:kern w:val="0"/>
                <w:sz w:val="24"/>
              </w:rPr>
              <w:t>的二次开发同样提上日程；营销端将通过体系改革</w:t>
            </w:r>
            <w:r w:rsidR="002A0449" w:rsidRPr="002A0449">
              <w:rPr>
                <w:rFonts w:ascii="宋体" w:hAnsi="宋体" w:cs="宋体" w:hint="eastAsia"/>
                <w:kern w:val="0"/>
                <w:sz w:val="24"/>
              </w:rPr>
              <w:t>对工业板块企业的营销工作开展统筹管理与专业赋能</w:t>
            </w:r>
            <w:r w:rsidR="002A0449">
              <w:rPr>
                <w:rFonts w:ascii="宋体" w:hAnsi="宋体" w:cs="宋体" w:hint="eastAsia"/>
                <w:kern w:val="0"/>
                <w:sz w:val="24"/>
              </w:rPr>
              <w:t>，预计将在</w:t>
            </w:r>
            <w:r w:rsidR="00C41A36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C41A36">
              <w:rPr>
                <w:rFonts w:ascii="宋体" w:hAnsi="宋体" w:cs="宋体"/>
                <w:kern w:val="0"/>
                <w:sz w:val="24"/>
              </w:rPr>
              <w:t>0</w:t>
            </w:r>
            <w:r w:rsidR="002A0449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A0449">
              <w:rPr>
                <w:rFonts w:ascii="宋体" w:hAnsi="宋体" w:cs="宋体"/>
                <w:kern w:val="0"/>
                <w:sz w:val="24"/>
              </w:rPr>
              <w:t>5</w:t>
            </w:r>
            <w:r w:rsidR="002A0449">
              <w:rPr>
                <w:rFonts w:ascii="宋体" w:hAnsi="宋体" w:cs="宋体" w:hint="eastAsia"/>
                <w:kern w:val="0"/>
                <w:sz w:val="24"/>
              </w:rPr>
              <w:t>年正式以新体系启动运营</w:t>
            </w:r>
            <w:r w:rsidR="002B58AA" w:rsidRPr="002B58A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E09EDC2" w14:textId="77777777" w:rsidR="00A8351D" w:rsidRDefault="00A8351D">
            <w:pPr>
              <w:spacing w:line="276" w:lineRule="auto"/>
              <w:ind w:firstLineChars="200" w:firstLine="420"/>
              <w:jc w:val="left"/>
            </w:pPr>
          </w:p>
          <w:p w14:paraId="1DF30BE9" w14:textId="1DA59E67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7220FC" w:rsidRPr="007220F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中药业务未来的发展策略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101CBAB8" w14:textId="61C3256F" w:rsidR="00A8351D" w:rsidRDefault="00380974" w:rsidP="005D37C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A：</w:t>
            </w:r>
            <w:r w:rsidR="005D37C3" w:rsidRPr="005D37C3">
              <w:rPr>
                <w:rFonts w:ascii="宋体" w:hAnsi="宋体" w:cs="宋体" w:hint="eastAsia"/>
                <w:kern w:val="0"/>
                <w:sz w:val="24"/>
              </w:rPr>
              <w:t>上海医药具备丰富的中药资源，旗下拥有8家主要直管中药企业，9个中药核心品牌，2024年</w:t>
            </w:r>
            <w:r w:rsidR="00CF7BEE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F7BEE">
              <w:rPr>
                <w:rFonts w:ascii="宋体" w:hAnsi="宋体" w:cs="宋体"/>
                <w:kern w:val="0"/>
                <w:sz w:val="24"/>
              </w:rPr>
              <w:t>-9</w:t>
            </w:r>
            <w:r w:rsidR="00CF7BEE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D37C3" w:rsidRPr="005D37C3">
              <w:rPr>
                <w:rFonts w:ascii="宋体" w:hAnsi="宋体" w:cs="宋体" w:hint="eastAsia"/>
                <w:kern w:val="0"/>
                <w:sz w:val="24"/>
              </w:rPr>
              <w:t>各中药企业实现工业收入合</w:t>
            </w:r>
            <w:r w:rsidR="005D37C3" w:rsidRPr="005D2C8C">
              <w:rPr>
                <w:rFonts w:ascii="宋体" w:hAnsi="宋体" w:cs="宋体" w:hint="eastAsia"/>
                <w:kern w:val="0"/>
                <w:sz w:val="24"/>
              </w:rPr>
              <w:t>计</w:t>
            </w:r>
            <w:r w:rsidR="00361CE1">
              <w:rPr>
                <w:rFonts w:ascii="宋体" w:hAnsi="宋体" w:cs="宋体" w:hint="eastAsia"/>
                <w:kern w:val="0"/>
                <w:sz w:val="24"/>
              </w:rPr>
              <w:t>超7</w:t>
            </w:r>
            <w:r w:rsidR="00361CE1">
              <w:rPr>
                <w:rFonts w:ascii="宋体" w:hAnsi="宋体" w:cs="宋体"/>
                <w:kern w:val="0"/>
                <w:sz w:val="24"/>
              </w:rPr>
              <w:t>0</w:t>
            </w:r>
            <w:r w:rsidR="005D37C3" w:rsidRPr="005D37C3">
              <w:rPr>
                <w:rFonts w:ascii="宋体" w:hAnsi="宋体" w:cs="宋体" w:hint="eastAsia"/>
                <w:kern w:val="0"/>
                <w:sz w:val="24"/>
              </w:rPr>
              <w:t>亿元。公司将紧抓中药行业发展机遇，继续挖掘自身优势资源，以中药研究所为核心平台，开展循证医学研究，持续推进中药大品种和大品牌战略</w:t>
            </w:r>
            <w:r w:rsidR="007220FC" w:rsidRPr="007220FC">
              <w:rPr>
                <w:rFonts w:ascii="宋体" w:hAnsi="宋体" w:cs="宋体" w:hint="eastAsia"/>
                <w:kern w:val="0"/>
                <w:sz w:val="24"/>
              </w:rPr>
              <w:t>。同时，上海医药将持续推进中药大品种和大品牌战略，并加大对院外市场的开拓。</w:t>
            </w:r>
            <w:r w:rsidR="00CF7BEE" w:rsidRPr="00CF7BEE">
              <w:rPr>
                <w:rFonts w:ascii="宋体" w:hAnsi="宋体" w:cs="宋体" w:hint="eastAsia"/>
                <w:kern w:val="0"/>
                <w:sz w:val="24"/>
              </w:rPr>
              <w:t>大品种养心氏片、瘀血痹胶囊、冠心宁片、八宝丹、胃复春、银杏酮酯的循证医学研究持续推进，病例入组数进一步增加。</w:t>
            </w:r>
          </w:p>
          <w:p w14:paraId="3933ECDA" w14:textId="77777777" w:rsidR="00A8351D" w:rsidRDefault="00A8351D">
            <w:pPr>
              <w:spacing w:line="276" w:lineRule="auto"/>
              <w:jc w:val="left"/>
            </w:pPr>
          </w:p>
          <w:p w14:paraId="18123007" w14:textId="3066A174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Q：上海医药</w:t>
            </w:r>
            <w:r w:rsidR="009E7767" w:rsidRPr="009E77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商业版块</w:t>
            </w:r>
            <w:r w:rsidR="009E77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如何做到</w:t>
            </w:r>
            <w:r w:rsidR="009E7767" w:rsidRPr="009E77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逆势增长</w:t>
            </w:r>
            <w:r w:rsidR="002B58A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54AE52E2" w14:textId="2DD86C1F" w:rsidR="006C14E9" w:rsidRDefault="00380974" w:rsidP="005E1A10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9E7767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9E7767">
              <w:rPr>
                <w:rFonts w:ascii="宋体" w:hAnsi="宋体" w:cs="宋体"/>
                <w:kern w:val="0"/>
                <w:sz w:val="24"/>
              </w:rPr>
              <w:t>024</w:t>
            </w:r>
            <w:r w:rsidR="009E7767">
              <w:rPr>
                <w:rFonts w:ascii="宋体" w:hAnsi="宋体" w:cs="宋体" w:hint="eastAsia"/>
                <w:kern w:val="0"/>
                <w:sz w:val="24"/>
              </w:rPr>
              <w:t>年，医药行业</w:t>
            </w:r>
            <w:r w:rsidR="0029427A">
              <w:rPr>
                <w:rFonts w:ascii="宋体" w:hAnsi="宋体" w:cs="宋体" w:hint="eastAsia"/>
                <w:kern w:val="0"/>
                <w:sz w:val="24"/>
              </w:rPr>
              <w:t>承压前行，</w:t>
            </w:r>
            <w:r w:rsidR="0029427A" w:rsidRPr="0029427A">
              <w:rPr>
                <w:rFonts w:ascii="宋体" w:hAnsi="宋体" w:cs="宋体" w:hint="eastAsia"/>
                <w:kern w:val="0"/>
                <w:sz w:val="24"/>
              </w:rPr>
              <w:t>尽管行业整体负增长</w:t>
            </w:r>
            <w:r w:rsidR="0029427A">
              <w:rPr>
                <w:rFonts w:ascii="宋体" w:hAnsi="宋体" w:cs="宋体" w:hint="eastAsia"/>
                <w:kern w:val="0"/>
                <w:sz w:val="24"/>
              </w:rPr>
              <w:t>，但是上海医药</w:t>
            </w:r>
            <w:r w:rsidR="00E73C88">
              <w:rPr>
                <w:rFonts w:ascii="宋体" w:hAnsi="宋体" w:cs="宋体" w:hint="eastAsia"/>
                <w:kern w:val="0"/>
                <w:sz w:val="24"/>
              </w:rPr>
              <w:t>商业板块</w:t>
            </w:r>
            <w:r w:rsidR="0029427A">
              <w:rPr>
                <w:rFonts w:ascii="宋体" w:hAnsi="宋体" w:cs="宋体" w:hint="eastAsia"/>
                <w:kern w:val="0"/>
                <w:sz w:val="24"/>
              </w:rPr>
              <w:t>凭借</w:t>
            </w:r>
            <w:r w:rsidR="0029427A" w:rsidRPr="0029427A">
              <w:rPr>
                <w:rFonts w:ascii="宋体" w:hAnsi="宋体" w:cs="宋体" w:hint="eastAsia"/>
                <w:kern w:val="0"/>
                <w:sz w:val="24"/>
              </w:rPr>
              <w:t>细分领域的专业化平台，赋能上下游合作伙伴，推动</w:t>
            </w:r>
            <w:r w:rsidR="0029427A">
              <w:rPr>
                <w:rFonts w:ascii="宋体" w:hAnsi="宋体" w:cs="宋体" w:hint="eastAsia"/>
                <w:kern w:val="0"/>
                <w:sz w:val="24"/>
              </w:rPr>
              <w:t>了</w:t>
            </w:r>
            <w:r w:rsidR="00E73C88">
              <w:rPr>
                <w:rFonts w:ascii="宋体" w:hAnsi="宋体" w:cs="宋体" w:hint="eastAsia"/>
                <w:kern w:val="0"/>
                <w:sz w:val="24"/>
              </w:rPr>
              <w:t>公司商业板块的高质量</w:t>
            </w:r>
            <w:r w:rsidR="0029427A" w:rsidRPr="0029427A">
              <w:rPr>
                <w:rFonts w:ascii="宋体" w:hAnsi="宋体" w:cs="宋体" w:hint="eastAsia"/>
                <w:kern w:val="0"/>
                <w:sz w:val="24"/>
              </w:rPr>
              <w:t>发展</w:t>
            </w:r>
            <w:r w:rsidR="0029427A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E73C88">
              <w:rPr>
                <w:rFonts w:ascii="宋体" w:hAnsi="宋体" w:cs="宋体" w:hint="eastAsia"/>
                <w:kern w:val="0"/>
                <w:sz w:val="24"/>
              </w:rPr>
              <w:t>其中，</w:t>
            </w:r>
            <w:r w:rsidR="00E73C88" w:rsidRPr="00E73C88">
              <w:rPr>
                <w:rFonts w:ascii="宋体" w:hAnsi="宋体" w:cs="宋体" w:hint="eastAsia"/>
                <w:kern w:val="0"/>
                <w:sz w:val="24"/>
              </w:rPr>
              <w:t>公司作为创新药及进口服务第一梯队，</w:t>
            </w:r>
            <w:r w:rsidR="00E73C88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E73C88" w:rsidRPr="00E73C88">
              <w:rPr>
                <w:rFonts w:ascii="宋体" w:hAnsi="宋体" w:cs="宋体" w:hint="eastAsia"/>
                <w:kern w:val="0"/>
                <w:sz w:val="24"/>
              </w:rPr>
              <w:t>2024年1-9月，成功引入进口总代品种13</w:t>
            </w:r>
            <w:r w:rsidR="005E1A10">
              <w:rPr>
                <w:rFonts w:ascii="宋体" w:hAnsi="宋体" w:cs="宋体" w:hint="eastAsia"/>
                <w:kern w:val="0"/>
                <w:sz w:val="24"/>
              </w:rPr>
              <w:t>个</w:t>
            </w:r>
            <w:r w:rsidR="00E73C88"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="005E1A10" w:rsidRPr="005E1A10">
              <w:rPr>
                <w:rFonts w:ascii="宋体" w:hAnsi="宋体" w:cs="宋体" w:hint="eastAsia"/>
                <w:kern w:val="0"/>
                <w:sz w:val="24"/>
              </w:rPr>
              <w:t>公司器械大健康业务</w:t>
            </w:r>
            <w:r w:rsidR="005E1A10">
              <w:rPr>
                <w:rFonts w:ascii="宋体" w:hAnsi="宋体" w:cs="宋体" w:hint="eastAsia"/>
                <w:kern w:val="0"/>
                <w:sz w:val="24"/>
              </w:rPr>
              <w:t>在2</w:t>
            </w:r>
            <w:r w:rsidR="005E1A10">
              <w:rPr>
                <w:rFonts w:ascii="宋体" w:hAnsi="宋体" w:cs="宋体"/>
                <w:kern w:val="0"/>
                <w:sz w:val="24"/>
              </w:rPr>
              <w:t>024</w:t>
            </w:r>
            <w:r w:rsidR="005E1A10">
              <w:rPr>
                <w:rFonts w:ascii="宋体" w:hAnsi="宋体" w:cs="宋体" w:hint="eastAsia"/>
                <w:kern w:val="0"/>
                <w:sz w:val="24"/>
              </w:rPr>
              <w:t>年1</w:t>
            </w:r>
            <w:r w:rsidR="005E1A10">
              <w:rPr>
                <w:rFonts w:ascii="宋体" w:hAnsi="宋体" w:cs="宋体"/>
                <w:kern w:val="0"/>
                <w:sz w:val="24"/>
              </w:rPr>
              <w:t>-9</w:t>
            </w:r>
            <w:r w:rsidR="005E1A10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E1A10" w:rsidRPr="005E1A10">
              <w:rPr>
                <w:rFonts w:ascii="宋体" w:hAnsi="宋体" w:cs="宋体" w:hint="eastAsia"/>
                <w:kern w:val="0"/>
                <w:sz w:val="24"/>
              </w:rPr>
              <w:t>销售约326亿，同比增长11.9%</w:t>
            </w:r>
            <w:r w:rsidR="006C14E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499EB67F" w14:textId="63DDB9A5" w:rsidR="006C14E9" w:rsidRDefault="006C14E9" w:rsidP="005E1A10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CC9454D" w14:textId="3F3C5857" w:rsidR="00A8351D" w:rsidRDefault="006C14E9" w:rsidP="006C14E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C14E9"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 w:rsidRPr="006C14E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：上海医药商业板块C</w:t>
            </w:r>
            <w:r w:rsidRPr="006C14E9">
              <w:rPr>
                <w:rFonts w:ascii="宋体" w:hAnsi="宋体" w:cs="宋体"/>
                <w:b/>
                <w:bCs/>
                <w:kern w:val="0"/>
                <w:sz w:val="24"/>
              </w:rPr>
              <w:t>SO</w:t>
            </w:r>
            <w:r w:rsidRPr="006C14E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进展？</w:t>
            </w:r>
          </w:p>
          <w:p w14:paraId="30D7CD16" w14:textId="1D8EF1DF" w:rsidR="006C14E9" w:rsidRDefault="006C14E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6C14E9">
              <w:rPr>
                <w:rFonts w:ascii="宋体" w:hAnsi="宋体" w:cs="宋体" w:hint="eastAsia"/>
                <w:kern w:val="0"/>
                <w:sz w:val="24"/>
              </w:rPr>
              <w:t>在药品的合约销售新业务方面，2023年末，公司与赛诺菲达成合约销售战略合作，涉及重点疾病领域20多个产品，合约规模超50亿，是近年来医药产业工商之间规模最大、范围最广、程度最深的战略合作之一。2024年1-9月销售规模61.42亿元，增长超过170%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6C14E9">
              <w:rPr>
                <w:rFonts w:ascii="宋体" w:hAnsi="宋体" w:cs="宋体" w:hint="eastAsia"/>
                <w:kern w:val="0"/>
                <w:sz w:val="24"/>
              </w:rPr>
              <w:t>目前合约推广部BU细分为7大板块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6C14E9">
              <w:rPr>
                <w:rFonts w:ascii="宋体" w:hAnsi="宋体" w:cs="宋体" w:hint="eastAsia"/>
                <w:kern w:val="0"/>
                <w:sz w:val="24"/>
              </w:rPr>
              <w:t>覆盖赛诺菲、拜耳、益普生、住友、武田、卫材等18家药企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2B176AC0" w14:textId="65C77B73" w:rsidR="006C14E9" w:rsidRPr="0001641B" w:rsidRDefault="006C14E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8E22" w14:textId="77777777" w:rsidR="00AE65DB" w:rsidRDefault="00AE65DB">
      <w:r>
        <w:separator/>
      </w:r>
    </w:p>
  </w:endnote>
  <w:endnote w:type="continuationSeparator" w:id="0">
    <w:p w14:paraId="2DE18943" w14:textId="77777777" w:rsidR="00AE65DB" w:rsidRDefault="00A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3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2E79" w14:textId="77777777" w:rsidR="00AE65DB" w:rsidRDefault="00AE65DB">
      <w:r>
        <w:separator/>
      </w:r>
    </w:p>
  </w:footnote>
  <w:footnote w:type="continuationSeparator" w:id="0">
    <w:p w14:paraId="0164E07E" w14:textId="77777777" w:rsidR="00AE65DB" w:rsidRDefault="00AE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1641B"/>
    <w:rsid w:val="00190806"/>
    <w:rsid w:val="001B0015"/>
    <w:rsid w:val="001F1B38"/>
    <w:rsid w:val="00292E82"/>
    <w:rsid w:val="0029427A"/>
    <w:rsid w:val="002A0449"/>
    <w:rsid w:val="002B58AA"/>
    <w:rsid w:val="00361CE1"/>
    <w:rsid w:val="00380974"/>
    <w:rsid w:val="003D4770"/>
    <w:rsid w:val="00416046"/>
    <w:rsid w:val="004D4D05"/>
    <w:rsid w:val="005D2C8C"/>
    <w:rsid w:val="005D37C3"/>
    <w:rsid w:val="005E1A10"/>
    <w:rsid w:val="006C14E9"/>
    <w:rsid w:val="00701239"/>
    <w:rsid w:val="007220FC"/>
    <w:rsid w:val="007F0C14"/>
    <w:rsid w:val="008378E7"/>
    <w:rsid w:val="008C1581"/>
    <w:rsid w:val="009B2B5B"/>
    <w:rsid w:val="009E7767"/>
    <w:rsid w:val="00A03234"/>
    <w:rsid w:val="00A35F19"/>
    <w:rsid w:val="00A8351D"/>
    <w:rsid w:val="00AE65DB"/>
    <w:rsid w:val="00B52F84"/>
    <w:rsid w:val="00BA1E4C"/>
    <w:rsid w:val="00C40184"/>
    <w:rsid w:val="00C41A36"/>
    <w:rsid w:val="00CF7BEE"/>
    <w:rsid w:val="00D642F8"/>
    <w:rsid w:val="00E73C88"/>
    <w:rsid w:val="00F04AE7"/>
    <w:rsid w:val="00F23045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1222</Characters>
  <Application>Microsoft Office Word</Application>
  <DocSecurity>0</DocSecurity>
  <Lines>10</Lines>
  <Paragraphs>2</Paragraphs>
  <ScaleCrop>false</ScaleCrop>
  <Company>SPH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7</cp:revision>
  <cp:lastPrinted>2020-05-06T16:51:00Z</cp:lastPrinted>
  <dcterms:created xsi:type="dcterms:W3CDTF">2024-11-04T06:24:00Z</dcterms:created>
  <dcterms:modified xsi:type="dcterms:W3CDTF">2024-11-08T02:07:00Z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