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0E00F">
      <w:pPr>
        <w:pStyle w:val="2"/>
        <w:rPr>
          <w:rFonts w:ascii="宋体" w:hAnsi="宋体" w:eastAsia="宋体" w:cs="宋体"/>
          <w:b/>
          <w:bCs/>
          <w:sz w:val="24"/>
          <w:szCs w:val="24"/>
          <w:lang w:val="en-US"/>
        </w:rPr>
      </w:pPr>
      <w:r>
        <w:rPr>
          <w:rFonts w:hint="eastAsia" w:ascii="宋体" w:hAnsi="宋体" w:eastAsia="宋体" w:cs="宋体"/>
          <w:b/>
          <w:bCs/>
          <w:sz w:val="24"/>
          <w:szCs w:val="24"/>
          <w:lang w:val="en-US"/>
        </w:rPr>
        <w:t>证券代码：603681                               证券简称：永冠新材</w:t>
      </w:r>
    </w:p>
    <w:p w14:paraId="5EE9DE7E">
      <w:pPr>
        <w:rPr>
          <w:b/>
          <w:bCs/>
          <w:sz w:val="24"/>
          <w:szCs w:val="24"/>
          <w:lang w:val="en-US"/>
        </w:rPr>
      </w:pPr>
    </w:p>
    <w:p w14:paraId="1EE799D5">
      <w:pPr>
        <w:pStyle w:val="2"/>
        <w:rPr>
          <w:rFonts w:ascii="宋体" w:hAnsi="宋体" w:eastAsia="宋体" w:cs="宋体"/>
          <w:b/>
          <w:bCs/>
          <w:sz w:val="24"/>
          <w:szCs w:val="24"/>
          <w:lang w:val="en-US"/>
        </w:rPr>
      </w:pPr>
      <w:r>
        <w:rPr>
          <w:rFonts w:hint="eastAsia" w:ascii="宋体" w:hAnsi="宋体" w:eastAsia="宋体" w:cs="宋体"/>
          <w:b/>
          <w:bCs/>
          <w:sz w:val="24"/>
          <w:szCs w:val="24"/>
          <w:lang w:val="en-US"/>
        </w:rPr>
        <w:t>转债代码：113653                               转债简称：永22转债</w:t>
      </w:r>
    </w:p>
    <w:p w14:paraId="499B44DB">
      <w:pPr>
        <w:spacing w:line="360" w:lineRule="auto"/>
        <w:jc w:val="center"/>
        <w:rPr>
          <w:rFonts w:ascii="宋体" w:hAnsi="宋体" w:eastAsia="宋体" w:cs="宋体"/>
          <w:b/>
          <w:bCs/>
          <w:sz w:val="24"/>
          <w:szCs w:val="24"/>
        </w:rPr>
      </w:pPr>
    </w:p>
    <w:p w14:paraId="285DA3C7">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上海永冠众诚新材料科技(集团)股份有限公司</w:t>
      </w:r>
    </w:p>
    <w:p w14:paraId="7B8E6FEA">
      <w:pPr>
        <w:spacing w:line="360" w:lineRule="auto"/>
        <w:jc w:val="center"/>
        <w:rPr>
          <w:rFonts w:ascii="宋体" w:hAnsi="宋体" w:eastAsia="宋体" w:cs="宋体"/>
          <w:sz w:val="30"/>
          <w:szCs w:val="30"/>
        </w:rPr>
      </w:pPr>
      <w:r>
        <w:rPr>
          <w:rFonts w:hint="eastAsia" w:ascii="宋体" w:hAnsi="宋体" w:eastAsia="宋体" w:cs="宋体"/>
          <w:b/>
          <w:bCs/>
          <w:sz w:val="30"/>
          <w:szCs w:val="30"/>
        </w:rPr>
        <w:t>投资者关系活动记录表</w:t>
      </w:r>
    </w:p>
    <w:p w14:paraId="1CA8C85C">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32"/>
          <w:szCs w:val="32"/>
        </w:rPr>
        <w:t xml:space="preserve">                       </w:t>
      </w:r>
      <w:r>
        <w:rPr>
          <w:rFonts w:hint="eastAsia" w:ascii="宋体" w:hAnsi="宋体" w:eastAsia="宋体" w:cs="宋体"/>
          <w:sz w:val="28"/>
          <w:szCs w:val="28"/>
        </w:rPr>
        <w:t xml:space="preserve">        </w:t>
      </w:r>
      <w:r>
        <w:rPr>
          <w:rFonts w:hint="eastAsia" w:ascii="宋体" w:hAnsi="宋体" w:eastAsia="宋体" w:cs="宋体"/>
          <w:sz w:val="24"/>
          <w:szCs w:val="24"/>
        </w:rPr>
        <w:t>编号：202</w:t>
      </w:r>
      <w:r>
        <w:rPr>
          <w:rFonts w:hint="eastAsia" w:ascii="宋体" w:hAnsi="宋体" w:eastAsia="宋体" w:cs="宋体"/>
          <w:sz w:val="24"/>
          <w:szCs w:val="24"/>
          <w:lang w:val="en-US" w:eastAsia="zh-CN"/>
        </w:rPr>
        <w:t>41108</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0"/>
        <w:gridCol w:w="5945"/>
      </w:tblGrid>
      <w:tr w14:paraId="09B3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2580" w:type="dxa"/>
          </w:tcPr>
          <w:p w14:paraId="0B2173E6">
            <w:pPr>
              <w:pStyle w:val="14"/>
              <w:spacing w:before="7"/>
              <w:rPr>
                <w:rFonts w:hint="eastAsia" w:asciiTheme="minorEastAsia" w:hAnsiTheme="minorEastAsia" w:eastAsiaTheme="minorEastAsia" w:cstheme="minorEastAsia"/>
                <w:b/>
                <w:bCs/>
                <w:sz w:val="18"/>
              </w:rPr>
            </w:pPr>
          </w:p>
          <w:p w14:paraId="5B94DBB4">
            <w:pPr>
              <w:pStyle w:val="14"/>
              <w:spacing w:before="1"/>
              <w:ind w:left="107"/>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投资者关系活动类别</w:t>
            </w:r>
          </w:p>
        </w:tc>
        <w:tc>
          <w:tcPr>
            <w:tcW w:w="5945" w:type="dxa"/>
          </w:tcPr>
          <w:p w14:paraId="3A63F1D1">
            <w:pPr>
              <w:pStyle w:val="14"/>
              <w:spacing w:before="7"/>
              <w:rPr>
                <w:rFonts w:hint="eastAsia" w:asciiTheme="minorEastAsia" w:hAnsiTheme="minorEastAsia" w:eastAsiaTheme="minorEastAsia" w:cstheme="minorEastAsia"/>
                <w:sz w:val="18"/>
              </w:rPr>
            </w:pPr>
          </w:p>
          <w:p w14:paraId="705FA417">
            <w:pPr>
              <w:pStyle w:val="14"/>
              <w:tabs>
                <w:tab w:val="left" w:pos="2418"/>
              </w:tabs>
              <w:spacing w:before="1"/>
              <w:ind w:left="107"/>
              <w:rPr>
                <w:rFonts w:hint="eastAsia" w:asciiTheme="minorEastAsia" w:hAnsiTheme="minorEastAsia" w:eastAsiaTheme="minorEastAsia" w:cstheme="minorEastAsia"/>
                <w:sz w:val="21"/>
              </w:rPr>
            </w:pPr>
            <w:sdt>
              <w:sdtPr>
                <w:rPr>
                  <w:rFonts w:hint="eastAsia" w:asciiTheme="minorEastAsia" w:hAnsiTheme="minorEastAsia" w:eastAsiaTheme="minorEastAsia" w:cstheme="minorEastAsia"/>
                  <w:sz w:val="21"/>
                </w:rPr>
                <w:id w:val="249780449"/>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特</w:t>
            </w:r>
            <w:r>
              <w:rPr>
                <w:rFonts w:hint="eastAsia" w:asciiTheme="minorEastAsia" w:hAnsiTheme="minorEastAsia" w:eastAsiaTheme="minorEastAsia" w:cstheme="minorEastAsia"/>
                <w:spacing w:val="-3"/>
                <w:sz w:val="21"/>
              </w:rPr>
              <w:t>定</w:t>
            </w:r>
            <w:r>
              <w:rPr>
                <w:rFonts w:hint="eastAsia" w:asciiTheme="minorEastAsia" w:hAnsiTheme="minorEastAsia" w:eastAsiaTheme="minorEastAsia" w:cstheme="minorEastAsia"/>
                <w:sz w:val="21"/>
              </w:rPr>
              <w:t>对</w:t>
            </w:r>
            <w:r>
              <w:rPr>
                <w:rFonts w:hint="eastAsia" w:asciiTheme="minorEastAsia" w:hAnsiTheme="minorEastAsia" w:eastAsiaTheme="minorEastAsia" w:cstheme="minorEastAsia"/>
                <w:spacing w:val="-3"/>
                <w:sz w:val="21"/>
              </w:rPr>
              <w:t>象</w:t>
            </w:r>
            <w:r>
              <w:rPr>
                <w:rFonts w:hint="eastAsia" w:asciiTheme="minorEastAsia" w:hAnsiTheme="minorEastAsia" w:eastAsiaTheme="minorEastAsia" w:cstheme="minorEastAsia"/>
                <w:sz w:val="21"/>
              </w:rPr>
              <w:t>调研</w:t>
            </w:r>
            <w:r>
              <w:rPr>
                <w:rFonts w:hint="eastAsia" w:asciiTheme="minorEastAsia" w:hAnsiTheme="minorEastAsia" w:eastAsiaTheme="minorEastAsia" w:cstheme="minorEastAsia"/>
                <w:sz w:val="21"/>
              </w:rPr>
              <w:tab/>
            </w:r>
            <w:sdt>
              <w:sdtPr>
                <w:rPr>
                  <w:rFonts w:hint="eastAsia" w:asciiTheme="minorEastAsia" w:hAnsiTheme="minorEastAsia" w:eastAsiaTheme="minorEastAsia" w:cstheme="minorEastAsia"/>
                  <w:sz w:val="21"/>
                </w:rPr>
                <w:id w:val="-416875725"/>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分</w:t>
            </w:r>
            <w:r>
              <w:rPr>
                <w:rFonts w:hint="eastAsia" w:asciiTheme="minorEastAsia" w:hAnsiTheme="minorEastAsia" w:eastAsiaTheme="minorEastAsia" w:cstheme="minorEastAsia"/>
                <w:spacing w:val="-3"/>
                <w:sz w:val="21"/>
              </w:rPr>
              <w:t>析</w:t>
            </w:r>
            <w:r>
              <w:rPr>
                <w:rFonts w:hint="eastAsia" w:asciiTheme="minorEastAsia" w:hAnsiTheme="minorEastAsia" w:eastAsiaTheme="minorEastAsia" w:cstheme="minorEastAsia"/>
                <w:sz w:val="21"/>
              </w:rPr>
              <w:t>师</w:t>
            </w:r>
            <w:r>
              <w:rPr>
                <w:rFonts w:hint="eastAsia" w:asciiTheme="minorEastAsia" w:hAnsiTheme="minorEastAsia" w:eastAsiaTheme="minorEastAsia" w:cstheme="minorEastAsia"/>
                <w:spacing w:val="-3"/>
                <w:sz w:val="21"/>
              </w:rPr>
              <w:t>会</w:t>
            </w:r>
            <w:r>
              <w:rPr>
                <w:rFonts w:hint="eastAsia" w:asciiTheme="minorEastAsia" w:hAnsiTheme="minorEastAsia" w:eastAsiaTheme="minorEastAsia" w:cstheme="minorEastAsia"/>
                <w:sz w:val="21"/>
              </w:rPr>
              <w:t>议</w:t>
            </w:r>
          </w:p>
          <w:p w14:paraId="46CF129B">
            <w:pPr>
              <w:pStyle w:val="14"/>
              <w:spacing w:before="11"/>
              <w:rPr>
                <w:rFonts w:hint="eastAsia" w:asciiTheme="minorEastAsia" w:hAnsiTheme="minorEastAsia" w:eastAsiaTheme="minorEastAsia" w:cstheme="minorEastAsia"/>
              </w:rPr>
            </w:pPr>
          </w:p>
          <w:p w14:paraId="3D9E0AD0">
            <w:pPr>
              <w:pStyle w:val="14"/>
              <w:tabs>
                <w:tab w:val="left" w:pos="2418"/>
              </w:tabs>
              <w:ind w:left="107"/>
              <w:rPr>
                <w:rFonts w:hint="eastAsia" w:asciiTheme="minorEastAsia" w:hAnsiTheme="minorEastAsia" w:eastAsiaTheme="minorEastAsia" w:cstheme="minorEastAsia"/>
                <w:sz w:val="21"/>
              </w:rPr>
            </w:pPr>
            <w:sdt>
              <w:sdtPr>
                <w:rPr>
                  <w:rFonts w:hint="eastAsia" w:asciiTheme="minorEastAsia" w:hAnsiTheme="minorEastAsia" w:eastAsiaTheme="minorEastAsia" w:cstheme="minorEastAsia"/>
                  <w:sz w:val="21"/>
                </w:rPr>
                <w:id w:val="120690601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媒</w:t>
            </w:r>
            <w:r>
              <w:rPr>
                <w:rFonts w:hint="eastAsia" w:asciiTheme="minorEastAsia" w:hAnsiTheme="minorEastAsia" w:eastAsiaTheme="minorEastAsia" w:cstheme="minorEastAsia"/>
                <w:spacing w:val="-3"/>
                <w:sz w:val="21"/>
              </w:rPr>
              <w:t>体</w:t>
            </w:r>
            <w:r>
              <w:rPr>
                <w:rFonts w:hint="eastAsia" w:asciiTheme="minorEastAsia" w:hAnsiTheme="minorEastAsia" w:eastAsiaTheme="minorEastAsia" w:cstheme="minorEastAsia"/>
                <w:sz w:val="21"/>
              </w:rPr>
              <w:t>采访</w:t>
            </w:r>
            <w:r>
              <w:rPr>
                <w:rFonts w:hint="eastAsia" w:asciiTheme="minorEastAsia" w:hAnsiTheme="minorEastAsia" w:eastAsiaTheme="minorEastAsia" w:cstheme="minorEastAsia"/>
                <w:sz w:val="21"/>
              </w:rPr>
              <w:tab/>
            </w:r>
            <w:sdt>
              <w:sdtPr>
                <w:rPr>
                  <w:rFonts w:hint="eastAsia" w:asciiTheme="minorEastAsia" w:hAnsiTheme="minorEastAsia" w:eastAsiaTheme="minorEastAsia" w:cstheme="minorEastAsia"/>
                  <w:sz w:val="21"/>
                </w:rPr>
                <w:id w:val="-66658901"/>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Wingdings 2" w:hAnsi="Wingdings 2" w:eastAsiaTheme="minorEastAsia" w:cstheme="minorEastAsia"/>
                    <w:sz w:val="21"/>
                    <w:szCs w:val="22"/>
                    <w:lang w:val="zh-CN" w:eastAsia="zh-CN" w:bidi="zh-CN"/>
                  </w:rPr>
                  <w:t>R</w:t>
                </w:r>
              </w:sdtContent>
            </w:sdt>
            <w:r>
              <w:rPr>
                <w:rFonts w:hint="eastAsia" w:asciiTheme="minorEastAsia" w:hAnsiTheme="minorEastAsia" w:eastAsiaTheme="minorEastAsia" w:cstheme="minorEastAsia"/>
                <w:sz w:val="21"/>
              </w:rPr>
              <w:t>业</w:t>
            </w:r>
            <w:r>
              <w:rPr>
                <w:rFonts w:hint="eastAsia" w:asciiTheme="minorEastAsia" w:hAnsiTheme="minorEastAsia" w:eastAsiaTheme="minorEastAsia" w:cstheme="minorEastAsia"/>
                <w:spacing w:val="-3"/>
                <w:sz w:val="21"/>
              </w:rPr>
              <w:t>绩</w:t>
            </w:r>
            <w:r>
              <w:rPr>
                <w:rFonts w:hint="eastAsia" w:asciiTheme="minorEastAsia" w:hAnsiTheme="minorEastAsia" w:eastAsiaTheme="minorEastAsia" w:cstheme="minorEastAsia"/>
                <w:sz w:val="21"/>
              </w:rPr>
              <w:t>说</w:t>
            </w:r>
            <w:r>
              <w:rPr>
                <w:rFonts w:hint="eastAsia" w:asciiTheme="minorEastAsia" w:hAnsiTheme="minorEastAsia" w:eastAsiaTheme="minorEastAsia" w:cstheme="minorEastAsia"/>
                <w:spacing w:val="-3"/>
                <w:sz w:val="21"/>
              </w:rPr>
              <w:t>明</w:t>
            </w:r>
            <w:r>
              <w:rPr>
                <w:rFonts w:hint="eastAsia" w:asciiTheme="minorEastAsia" w:hAnsiTheme="minorEastAsia" w:eastAsiaTheme="minorEastAsia" w:cstheme="minorEastAsia"/>
                <w:sz w:val="21"/>
              </w:rPr>
              <w:t>会</w:t>
            </w:r>
          </w:p>
          <w:p w14:paraId="70A1AF93">
            <w:pPr>
              <w:pStyle w:val="14"/>
              <w:spacing w:before="8"/>
              <w:rPr>
                <w:rFonts w:hint="eastAsia" w:asciiTheme="minorEastAsia" w:hAnsiTheme="minorEastAsia" w:eastAsiaTheme="minorEastAsia" w:cstheme="minorEastAsia"/>
              </w:rPr>
            </w:pPr>
          </w:p>
          <w:p w14:paraId="4337EAB9">
            <w:pPr>
              <w:pStyle w:val="14"/>
              <w:tabs>
                <w:tab w:val="left" w:pos="2418"/>
              </w:tabs>
              <w:ind w:left="107"/>
              <w:rPr>
                <w:rFonts w:hint="eastAsia" w:asciiTheme="minorEastAsia" w:hAnsiTheme="minorEastAsia" w:eastAsiaTheme="minorEastAsia" w:cstheme="minorEastAsia"/>
                <w:sz w:val="21"/>
              </w:rPr>
            </w:pPr>
            <w:sdt>
              <w:sdtPr>
                <w:rPr>
                  <w:rFonts w:hint="eastAsia" w:asciiTheme="minorEastAsia" w:hAnsiTheme="minorEastAsia" w:eastAsiaTheme="minorEastAsia" w:cstheme="minorEastAsia"/>
                  <w:sz w:val="21"/>
                </w:rPr>
                <w:id w:val="-184816743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新</w:t>
            </w:r>
            <w:r>
              <w:rPr>
                <w:rFonts w:hint="eastAsia" w:asciiTheme="minorEastAsia" w:hAnsiTheme="minorEastAsia" w:eastAsiaTheme="minorEastAsia" w:cstheme="minorEastAsia"/>
                <w:spacing w:val="-3"/>
                <w:sz w:val="21"/>
              </w:rPr>
              <w:t>闻</w:t>
            </w:r>
            <w:r>
              <w:rPr>
                <w:rFonts w:hint="eastAsia" w:asciiTheme="minorEastAsia" w:hAnsiTheme="minorEastAsia" w:eastAsiaTheme="minorEastAsia" w:cstheme="minorEastAsia"/>
                <w:sz w:val="21"/>
              </w:rPr>
              <w:t>发</w:t>
            </w:r>
            <w:r>
              <w:rPr>
                <w:rFonts w:hint="eastAsia" w:asciiTheme="minorEastAsia" w:hAnsiTheme="minorEastAsia" w:eastAsiaTheme="minorEastAsia" w:cstheme="minorEastAsia"/>
                <w:spacing w:val="-3"/>
                <w:sz w:val="21"/>
              </w:rPr>
              <w:t>布</w:t>
            </w:r>
            <w:r>
              <w:rPr>
                <w:rFonts w:hint="eastAsia" w:asciiTheme="minorEastAsia" w:hAnsiTheme="minorEastAsia" w:eastAsiaTheme="minorEastAsia" w:cstheme="minorEastAsia"/>
                <w:sz w:val="21"/>
              </w:rPr>
              <w:t>会</w:t>
            </w:r>
            <w:r>
              <w:rPr>
                <w:rFonts w:hint="eastAsia" w:asciiTheme="minorEastAsia" w:hAnsiTheme="minorEastAsia" w:eastAsiaTheme="minorEastAsia" w:cstheme="minorEastAsia"/>
                <w:sz w:val="21"/>
              </w:rPr>
              <w:tab/>
            </w:r>
            <w:sdt>
              <w:sdtPr>
                <w:rPr>
                  <w:rFonts w:hint="eastAsia" w:asciiTheme="minorEastAsia" w:hAnsiTheme="minorEastAsia" w:eastAsiaTheme="minorEastAsia" w:cstheme="minorEastAsia"/>
                  <w:sz w:val="21"/>
                </w:rPr>
                <w:id w:val="41204969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路</w:t>
            </w:r>
            <w:r>
              <w:rPr>
                <w:rFonts w:hint="eastAsia" w:asciiTheme="minorEastAsia" w:hAnsiTheme="minorEastAsia" w:eastAsiaTheme="minorEastAsia" w:cstheme="minorEastAsia"/>
                <w:spacing w:val="-3"/>
                <w:sz w:val="21"/>
              </w:rPr>
              <w:t>演</w:t>
            </w:r>
            <w:r>
              <w:rPr>
                <w:rFonts w:hint="eastAsia" w:asciiTheme="minorEastAsia" w:hAnsiTheme="minorEastAsia" w:eastAsiaTheme="minorEastAsia" w:cstheme="minorEastAsia"/>
                <w:sz w:val="21"/>
              </w:rPr>
              <w:t>活动</w:t>
            </w:r>
          </w:p>
          <w:p w14:paraId="25EEF755">
            <w:pPr>
              <w:pStyle w:val="14"/>
              <w:spacing w:before="8"/>
              <w:rPr>
                <w:rFonts w:hint="eastAsia" w:asciiTheme="minorEastAsia" w:hAnsiTheme="minorEastAsia" w:eastAsiaTheme="minorEastAsia" w:cstheme="minorEastAsia"/>
              </w:rPr>
            </w:pPr>
          </w:p>
          <w:p w14:paraId="451FC7FA">
            <w:pPr>
              <w:pStyle w:val="14"/>
              <w:ind w:left="107"/>
              <w:rPr>
                <w:rFonts w:hint="eastAsia" w:asciiTheme="minorEastAsia" w:hAnsiTheme="minorEastAsia" w:eastAsiaTheme="minorEastAsia" w:cstheme="minorEastAsia"/>
                <w:sz w:val="21"/>
              </w:rPr>
            </w:pPr>
            <w:sdt>
              <w:sdtPr>
                <w:rPr>
                  <w:rFonts w:hint="eastAsia" w:asciiTheme="minorEastAsia" w:hAnsiTheme="minorEastAsia" w:eastAsiaTheme="minorEastAsia" w:cstheme="minorEastAsia"/>
                  <w:sz w:val="21"/>
                </w:rPr>
                <w:id w:val="-1333366911"/>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 xml:space="preserve">现场参观            </w:t>
            </w:r>
            <w:sdt>
              <w:sdtPr>
                <w:rPr>
                  <w:rFonts w:hint="eastAsia" w:asciiTheme="minorEastAsia" w:hAnsiTheme="minorEastAsia" w:eastAsiaTheme="minorEastAsia" w:cstheme="minorEastAsia"/>
                  <w:sz w:val="21"/>
                </w:rPr>
                <w:id w:val="1282988974"/>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一对一沟通</w:t>
            </w:r>
          </w:p>
          <w:p w14:paraId="26573865">
            <w:pPr>
              <w:pStyle w:val="14"/>
              <w:spacing w:before="11"/>
              <w:rPr>
                <w:rFonts w:hint="eastAsia" w:asciiTheme="minorEastAsia" w:hAnsiTheme="minorEastAsia" w:eastAsiaTheme="minorEastAsia" w:cstheme="minorEastAsia"/>
              </w:rPr>
            </w:pPr>
          </w:p>
          <w:p w14:paraId="33178929">
            <w:pPr>
              <w:pStyle w:val="14"/>
              <w:ind w:left="107"/>
              <w:rPr>
                <w:rFonts w:hint="eastAsia" w:asciiTheme="minorEastAsia" w:hAnsiTheme="minorEastAsia" w:eastAsiaTheme="minorEastAsia" w:cstheme="minorEastAsia"/>
                <w:sz w:val="21"/>
              </w:rPr>
            </w:pPr>
            <w:sdt>
              <w:sdtPr>
                <w:rPr>
                  <w:rFonts w:hint="eastAsia" w:asciiTheme="minorEastAsia" w:hAnsiTheme="minorEastAsia" w:eastAsiaTheme="minorEastAsia" w:cstheme="minorEastAsia"/>
                  <w:sz w:val="21"/>
                </w:rPr>
                <w:id w:val="40088521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sz w:val="21"/>
              </w:rPr>
              <w:t>其他（</w:t>
            </w:r>
            <w:r>
              <w:rPr>
                <w:rFonts w:hint="eastAsia" w:asciiTheme="minorEastAsia" w:hAnsiTheme="minorEastAsia" w:eastAsiaTheme="minorEastAsia" w:cstheme="minorEastAsia"/>
                <w:sz w:val="21"/>
                <w:u w:val="single"/>
              </w:rPr>
              <w:t>请文字说明其他活动内容）</w:t>
            </w:r>
          </w:p>
        </w:tc>
      </w:tr>
      <w:tr w14:paraId="185C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80" w:type="dxa"/>
          </w:tcPr>
          <w:p w14:paraId="70193FF0">
            <w:pPr>
              <w:pStyle w:val="14"/>
              <w:spacing w:line="560" w:lineRule="exact"/>
              <w:ind w:left="107" w:right="96"/>
              <w:rPr>
                <w:rFonts w:hint="eastAsia" w:asciiTheme="minorEastAsia" w:hAnsiTheme="minorEastAsia" w:eastAsiaTheme="minorEastAsia" w:cstheme="minorEastAsia"/>
                <w:b/>
                <w:bCs/>
                <w:sz w:val="21"/>
                <w:lang w:val="en-US"/>
              </w:rPr>
            </w:pPr>
            <w:r>
              <w:rPr>
                <w:rFonts w:hint="eastAsia" w:asciiTheme="minorEastAsia" w:hAnsiTheme="minorEastAsia" w:eastAsiaTheme="minorEastAsia" w:cstheme="minorEastAsia"/>
                <w:b/>
                <w:bCs/>
                <w:sz w:val="21"/>
                <w:lang w:val="en-US"/>
              </w:rPr>
              <w:t>形式</w:t>
            </w:r>
          </w:p>
        </w:tc>
        <w:tc>
          <w:tcPr>
            <w:tcW w:w="5945" w:type="dxa"/>
          </w:tcPr>
          <w:p w14:paraId="13F941AD">
            <w:pPr>
              <w:pStyle w:val="14"/>
              <w:spacing w:before="240" w:beforeLines="100" w:line="360" w:lineRule="auto"/>
              <w:ind w:left="108"/>
              <w:rPr>
                <w:rFonts w:hint="eastAsia" w:asciiTheme="minorEastAsia" w:hAnsiTheme="minorEastAsia" w:eastAsiaTheme="minorEastAsia" w:cstheme="minorEastAsia"/>
                <w:sz w:val="26"/>
                <w:lang w:val="en-US"/>
              </w:rPr>
            </w:pPr>
            <w:sdt>
              <w:sdtPr>
                <w:rPr>
                  <w:rFonts w:hint="eastAsia" w:asciiTheme="minorEastAsia" w:hAnsiTheme="minorEastAsia" w:eastAsiaTheme="minorEastAsia" w:cstheme="minorEastAsia"/>
                  <w:sz w:val="21"/>
                </w:rPr>
                <w:id w:val="201993987"/>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lang w:val="en-US"/>
              </w:rPr>
              <w:t xml:space="preserve">现场     </w:t>
            </w:r>
            <w:sdt>
              <w:sdtPr>
                <w:rPr>
                  <w:rFonts w:hint="eastAsia" w:asciiTheme="minorEastAsia" w:hAnsiTheme="minorEastAsia" w:eastAsiaTheme="minorEastAsia" w:cstheme="minorEastAsia"/>
                  <w:sz w:val="21"/>
                </w:rPr>
                <w:id w:val="-1902896415"/>
                <w14:checkbox>
                  <w14:checked w14:val="1"/>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sym w:font="Wingdings 2" w:char="F052"/>
                </w:r>
              </w:sdtContent>
            </w:sdt>
            <w:r>
              <w:rPr>
                <w:rFonts w:hint="eastAsia" w:asciiTheme="minorEastAsia" w:hAnsiTheme="minorEastAsia" w:eastAsiaTheme="minorEastAsia" w:cstheme="minorEastAsia"/>
                <w:lang w:val="en-US"/>
              </w:rPr>
              <w:t xml:space="preserve">网上    </w:t>
            </w:r>
            <w:sdt>
              <w:sdtPr>
                <w:rPr>
                  <w:rFonts w:hint="eastAsia" w:asciiTheme="minorEastAsia" w:hAnsiTheme="minorEastAsia" w:eastAsiaTheme="minorEastAsia" w:cstheme="minorEastAsia"/>
                  <w:sz w:val="21"/>
                </w:rPr>
                <w:id w:val="1076561798"/>
                <w14:checkbox>
                  <w14:checked w14:val="0"/>
                  <w14:checkedState w14:val="0052" w14:font="Wingdings 2"/>
                  <w14:uncheckedState w14:val="2610" w14:font="MS Gothic"/>
                </w14:checkbox>
              </w:sdtPr>
              <w:sdtEndPr>
                <w:rPr>
                  <w:rFonts w:hint="eastAsia" w:asciiTheme="minorEastAsia" w:hAnsiTheme="minorEastAsia" w:eastAsiaTheme="minorEastAsia" w:cstheme="minorEastAsia"/>
                  <w:sz w:val="21"/>
                </w:rPr>
              </w:sdtEndPr>
              <w:sdtContent>
                <w:r>
                  <w:rPr>
                    <w:rFonts w:hint="eastAsia" w:asciiTheme="minorEastAsia" w:hAnsiTheme="minorEastAsia" w:eastAsiaTheme="minorEastAsia" w:cstheme="minorEastAsia"/>
                    <w:sz w:val="21"/>
                  </w:rPr>
                  <w:t>☐</w:t>
                </w:r>
              </w:sdtContent>
            </w:sdt>
            <w:r>
              <w:rPr>
                <w:rFonts w:hint="eastAsia" w:asciiTheme="minorEastAsia" w:hAnsiTheme="minorEastAsia" w:eastAsiaTheme="minorEastAsia" w:cstheme="minorEastAsia"/>
                <w:lang w:val="en-US"/>
              </w:rPr>
              <w:t>电话会议</w:t>
            </w:r>
          </w:p>
        </w:tc>
      </w:tr>
      <w:tr w14:paraId="6F33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2580" w:type="dxa"/>
            <w:vAlign w:val="center"/>
          </w:tcPr>
          <w:p w14:paraId="6623C92B">
            <w:pPr>
              <w:pStyle w:val="14"/>
              <w:spacing w:line="560" w:lineRule="exact"/>
              <w:ind w:left="107" w:right="96"/>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参与单位名称及人员姓名</w:t>
            </w:r>
          </w:p>
        </w:tc>
        <w:tc>
          <w:tcPr>
            <w:tcW w:w="5945" w:type="dxa"/>
            <w:vAlign w:val="center"/>
          </w:tcPr>
          <w:p w14:paraId="25B25187">
            <w:pPr>
              <w:pStyle w:val="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参与公司</w:t>
            </w:r>
            <w:r>
              <w:rPr>
                <w:rFonts w:hint="eastAsia" w:asciiTheme="minorEastAsia" w:hAnsiTheme="minorEastAsia" w:eastAsiaTheme="minorEastAsia" w:cstheme="minorEastAsia"/>
                <w:sz w:val="24"/>
                <w:szCs w:val="24"/>
                <w:lang w:val="en-US" w:eastAsia="zh-CN"/>
              </w:rPr>
              <w:t>2024年第三季度</w:t>
            </w:r>
            <w:r>
              <w:rPr>
                <w:rFonts w:hint="eastAsia" w:asciiTheme="minorEastAsia" w:hAnsiTheme="minorEastAsia" w:eastAsiaTheme="minorEastAsia" w:cstheme="minorEastAsia"/>
                <w:sz w:val="24"/>
                <w:szCs w:val="24"/>
              </w:rPr>
              <w:t>业绩说明会的全体投资者</w:t>
            </w:r>
          </w:p>
        </w:tc>
      </w:tr>
      <w:tr w14:paraId="79B1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7B07DEC3">
            <w:pPr>
              <w:pStyle w:val="14"/>
              <w:ind w:left="107"/>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时间</w:t>
            </w:r>
          </w:p>
        </w:tc>
        <w:tc>
          <w:tcPr>
            <w:tcW w:w="5945" w:type="dxa"/>
            <w:vAlign w:val="center"/>
          </w:tcPr>
          <w:p w14:paraId="24FB692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xml:space="preserve">日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00</w:t>
            </w:r>
          </w:p>
        </w:tc>
      </w:tr>
      <w:tr w14:paraId="7CB9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14:paraId="6F140138">
            <w:pPr>
              <w:pStyle w:val="14"/>
              <w:ind w:left="107"/>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地点</w:t>
            </w:r>
          </w:p>
        </w:tc>
        <w:tc>
          <w:tcPr>
            <w:tcW w:w="5945" w:type="dxa"/>
            <w:vAlign w:val="center"/>
          </w:tcPr>
          <w:p w14:paraId="241D8705">
            <w:pPr>
              <w:shd w:val="clear" w:color="auto" w:fill="FFFFFF"/>
              <w:autoSpaceDE/>
              <w:autoSpaceDN/>
              <w:spacing w:before="100" w:beforeAutospacing="1" w:line="360" w:lineRule="auto"/>
              <w:jc w:val="both"/>
              <w:rPr>
                <w:rFonts w:hint="eastAsia" w:asciiTheme="minorEastAsia" w:hAnsiTheme="minorEastAsia" w:eastAsiaTheme="minorEastAsia" w:cstheme="minorEastAsia"/>
                <w:b/>
                <w:kern w:val="2"/>
                <w:sz w:val="24"/>
                <w:szCs w:val="24"/>
                <w:lang w:val="en-US" w:bidi="ar-SA"/>
              </w:rPr>
            </w:pPr>
            <w:r>
              <w:rPr>
                <w:rFonts w:hint="eastAsia" w:asciiTheme="minorEastAsia" w:hAnsiTheme="minorEastAsia" w:eastAsiaTheme="minorEastAsia" w:cstheme="minorEastAsia"/>
                <w:kern w:val="2"/>
                <w:sz w:val="24"/>
                <w:szCs w:val="24"/>
                <w:lang w:val="en-US" w:bidi="ar-SA"/>
              </w:rPr>
              <w:t>上海证券报•</w:t>
            </w:r>
            <w:r>
              <w:rPr>
                <w:rFonts w:hint="eastAsia" w:asciiTheme="minorEastAsia" w:hAnsiTheme="minorEastAsia" w:eastAsiaTheme="minorEastAsia" w:cstheme="minorEastAsia"/>
                <w:bCs/>
                <w:kern w:val="2"/>
                <w:sz w:val="24"/>
                <w:szCs w:val="24"/>
                <w:lang w:val="en-US" w:bidi="ar-SA"/>
              </w:rPr>
              <w:t>中国证券网路演中心</w:t>
            </w:r>
            <w:r>
              <w:rPr>
                <w:rFonts w:hint="eastAsia" w:asciiTheme="minorEastAsia" w:hAnsiTheme="minorEastAsia" w:eastAsiaTheme="minorEastAsia" w:cstheme="minorEastAsia"/>
                <w:kern w:val="2"/>
                <w:sz w:val="24"/>
                <w:szCs w:val="24"/>
                <w:lang w:val="en-US" w:bidi="ar-SA"/>
              </w:rPr>
              <w:t>（网址：https://roadshow.cnstock.com/）</w:t>
            </w:r>
          </w:p>
        </w:tc>
      </w:tr>
      <w:tr w14:paraId="752EA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46FFB8FE">
            <w:pPr>
              <w:pStyle w:val="14"/>
              <w:spacing w:before="1"/>
              <w:ind w:left="107"/>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上市公司接待人员姓名</w:t>
            </w:r>
          </w:p>
        </w:tc>
        <w:tc>
          <w:tcPr>
            <w:tcW w:w="5945" w:type="dxa"/>
            <w:vAlign w:val="center"/>
          </w:tcPr>
          <w:p w14:paraId="67543EC6">
            <w:pPr>
              <w:shd w:val="clear" w:color="auto" w:fill="FFFFFF"/>
              <w:spacing w:before="100" w:beforeAutospacing="1"/>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董事长：吕新民先生</w:t>
            </w:r>
          </w:p>
          <w:p w14:paraId="52CA41C7">
            <w:pPr>
              <w:shd w:val="clear" w:color="auto" w:fill="FFFFFF"/>
              <w:spacing w:before="100" w:beforeAutospacing="1"/>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董事会秘书：</w:t>
            </w:r>
            <w:r>
              <w:rPr>
                <w:rFonts w:hint="eastAsia" w:asciiTheme="minorEastAsia" w:hAnsiTheme="minorEastAsia" w:eastAsiaTheme="minorEastAsia" w:cstheme="minorEastAsia"/>
                <w:sz w:val="24"/>
                <w:lang w:val="en-US" w:eastAsia="zh-CN"/>
              </w:rPr>
              <w:t>卢莎</w:t>
            </w:r>
            <w:r>
              <w:rPr>
                <w:rFonts w:hint="eastAsia" w:asciiTheme="minorEastAsia" w:hAnsiTheme="minorEastAsia" w:eastAsiaTheme="minorEastAsia" w:cstheme="minorEastAsia"/>
                <w:sz w:val="24"/>
              </w:rPr>
              <w:t>女士</w:t>
            </w:r>
          </w:p>
          <w:p w14:paraId="1332F648">
            <w:pPr>
              <w:shd w:val="clear" w:color="auto" w:fill="FFFFFF"/>
              <w:spacing w:before="100" w:beforeAutospacing="1"/>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财务总监：石理善先生</w:t>
            </w:r>
          </w:p>
          <w:p w14:paraId="321560E4">
            <w:pPr>
              <w:shd w:val="clear" w:color="auto" w:fill="FFFFFF"/>
              <w:spacing w:before="100" w:beforeAutospacing="1"/>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独立董事：</w:t>
            </w:r>
            <w:r>
              <w:rPr>
                <w:rFonts w:hint="eastAsia" w:asciiTheme="minorEastAsia" w:hAnsiTheme="minorEastAsia" w:eastAsiaTheme="minorEastAsia" w:cstheme="minorEastAsia"/>
                <w:sz w:val="24"/>
                <w:lang w:val="en-US" w:eastAsia="zh-CN"/>
              </w:rPr>
              <w:t>张彦周</w:t>
            </w:r>
            <w:r>
              <w:rPr>
                <w:rFonts w:hint="eastAsia" w:asciiTheme="minorEastAsia" w:hAnsiTheme="minorEastAsia" w:eastAsiaTheme="minorEastAsia" w:cstheme="minorEastAsia"/>
                <w:sz w:val="24"/>
              </w:rPr>
              <w:t>先生</w:t>
            </w:r>
          </w:p>
          <w:p w14:paraId="676C77A2">
            <w:pPr>
              <w:pStyle w:val="14"/>
              <w:rPr>
                <w:rFonts w:hint="eastAsia" w:asciiTheme="minorEastAsia" w:hAnsiTheme="minorEastAsia" w:eastAsiaTheme="minorEastAsia" w:cstheme="minorEastAsia"/>
                <w:sz w:val="24"/>
                <w:szCs w:val="24"/>
                <w:lang w:val="en-US" w:eastAsia="zh-CN"/>
              </w:rPr>
            </w:pPr>
          </w:p>
        </w:tc>
      </w:tr>
      <w:tr w14:paraId="331E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2" w:hRule="atLeast"/>
          <w:jc w:val="center"/>
        </w:trPr>
        <w:tc>
          <w:tcPr>
            <w:tcW w:w="2580" w:type="dxa"/>
          </w:tcPr>
          <w:p w14:paraId="568D8A0B">
            <w:pPr>
              <w:pStyle w:val="14"/>
              <w:spacing w:line="360" w:lineRule="auto"/>
              <w:rPr>
                <w:rFonts w:hint="eastAsia" w:asciiTheme="minorEastAsia" w:hAnsiTheme="minorEastAsia" w:eastAsiaTheme="minorEastAsia" w:cstheme="minorEastAsia"/>
                <w:b/>
                <w:bCs/>
                <w:sz w:val="20"/>
              </w:rPr>
            </w:pPr>
          </w:p>
          <w:p w14:paraId="1FC058EE">
            <w:pPr>
              <w:pStyle w:val="14"/>
              <w:spacing w:line="360" w:lineRule="auto"/>
              <w:rPr>
                <w:rFonts w:hint="eastAsia" w:asciiTheme="minorEastAsia" w:hAnsiTheme="minorEastAsia" w:eastAsiaTheme="minorEastAsia" w:cstheme="minorEastAsia"/>
                <w:b/>
                <w:bCs/>
                <w:sz w:val="20"/>
              </w:rPr>
            </w:pPr>
          </w:p>
          <w:p w14:paraId="79765907">
            <w:pPr>
              <w:pStyle w:val="14"/>
              <w:spacing w:before="5" w:line="360" w:lineRule="auto"/>
              <w:rPr>
                <w:rFonts w:hint="eastAsia" w:asciiTheme="minorEastAsia" w:hAnsiTheme="minorEastAsia" w:eastAsiaTheme="minorEastAsia" w:cstheme="minorEastAsia"/>
                <w:b/>
                <w:bCs/>
              </w:rPr>
            </w:pPr>
          </w:p>
          <w:p w14:paraId="2E34001B">
            <w:pPr>
              <w:pStyle w:val="14"/>
              <w:spacing w:before="1" w:line="360" w:lineRule="auto"/>
              <w:ind w:left="107" w:right="96"/>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投资者关系活动主要内容介绍</w:t>
            </w:r>
          </w:p>
        </w:tc>
        <w:tc>
          <w:tcPr>
            <w:tcW w:w="5945" w:type="dxa"/>
          </w:tcPr>
          <w:p w14:paraId="015CA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hint="eastAsia" w:ascii="宋体" w:hAnsi="宋体" w:eastAsia="宋体" w:cs="宋体"/>
                <w:color w:val="000000"/>
                <w:kern w:val="0"/>
                <w:sz w:val="24"/>
                <w:szCs w:val="24"/>
                <w14:ligatures w14:val="none"/>
              </w:rPr>
            </w:pP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b/>
                <w:lang w:val="en-US" w:eastAsia="zh-CN"/>
              </w:rPr>
              <w:t xml:space="preserve">   </w:t>
            </w: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.贵公司在多个领域布局，请问车衣膜这块业务开展的在的怎么样？目前销售是多少？</w:t>
            </w:r>
          </w:p>
          <w:p w14:paraId="5B11C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公司已逐步形成汽车后市场车衣膜、改色膜、隔热膜等系列产品的汽车胶粘及保护解决方案，已在线上网销、线下门店、4S集团、外销出口等渠道开展销售合作。在此基础上，今年下半年公司车膜类产品获得了IATF16949汽车产品体系认证，进一步打开与主机厂合作的渠道。感谢您的关注！</w:t>
            </w:r>
          </w:p>
          <w:p w14:paraId="54AB45A0">
            <w:pPr>
              <w:widowControl/>
              <w:spacing w:after="0" w:line="360" w:lineRule="auto"/>
              <w:rPr>
                <w:rFonts w:hint="eastAsia" w:ascii="宋体" w:hAnsi="宋体" w:eastAsia="宋体" w:cs="宋体"/>
                <w:kern w:val="0"/>
                <w:sz w:val="24"/>
                <w:szCs w:val="24"/>
                <w14:ligatures w14:val="none"/>
              </w:rPr>
            </w:pPr>
          </w:p>
          <w:p w14:paraId="499AE1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.公司外销比例有多少？</w:t>
            </w:r>
          </w:p>
          <w:p w14:paraId="55D30E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答：尊敬的投资者，您好！公司外销比例约占七成。感谢您的关注！</w:t>
            </w:r>
          </w:p>
          <w:p w14:paraId="1CF1E483">
            <w:pPr>
              <w:widowControl/>
              <w:spacing w:after="0" w:line="360" w:lineRule="auto"/>
              <w:rPr>
                <w:rFonts w:hint="eastAsia" w:ascii="宋体" w:hAnsi="宋体" w:eastAsia="宋体" w:cs="宋体"/>
                <w:kern w:val="0"/>
                <w:sz w:val="24"/>
                <w:szCs w:val="24"/>
                <w14:ligatures w14:val="none"/>
              </w:rPr>
            </w:pPr>
          </w:p>
          <w:p w14:paraId="06D83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.销售费用、研发费用为何增加较多？</w:t>
            </w:r>
          </w:p>
          <w:p w14:paraId="2F447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答：尊敬的投资者，您好！面对宏观环境挑战，公司加大孵化新事业部、开拓新领域力度，故销售费用、研发费用同比有所增加。感谢您的关注！</w:t>
            </w:r>
          </w:p>
          <w:p w14:paraId="6F9C14B1">
            <w:pPr>
              <w:widowControl/>
              <w:spacing w:after="0" w:line="360" w:lineRule="auto"/>
              <w:rPr>
                <w:rFonts w:hint="eastAsia" w:ascii="宋体" w:hAnsi="宋体" w:eastAsia="宋体" w:cs="宋体"/>
                <w:kern w:val="0"/>
                <w:sz w:val="24"/>
                <w:szCs w:val="24"/>
                <w14:ligatures w14:val="none"/>
              </w:rPr>
            </w:pPr>
          </w:p>
          <w:p w14:paraId="51D2C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.特朗普上台后若增加关税，公司要如何应对？</w:t>
            </w:r>
          </w:p>
          <w:p w14:paraId="1F2B23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公司为胶粘带行业极少数于海外设有生产基地的企业，已设有越南工厂保障对美国客户的供应与服务，今年下半年在马来西亚设立新的生产基地，进一步分散国际关系摩擦可能带来的风险。感谢您的关注！</w:t>
            </w:r>
          </w:p>
          <w:p w14:paraId="54EF5233">
            <w:pPr>
              <w:widowControl/>
              <w:spacing w:after="0" w:line="360" w:lineRule="auto"/>
              <w:rPr>
                <w:rFonts w:hint="eastAsia" w:ascii="宋体" w:hAnsi="宋体" w:eastAsia="宋体" w:cs="宋体"/>
                <w:kern w:val="0"/>
                <w:sz w:val="24"/>
                <w:szCs w:val="24"/>
                <w14:ligatures w14:val="none"/>
              </w:rPr>
            </w:pPr>
          </w:p>
          <w:p w14:paraId="7C314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.吕总，你有关心过公司股价？你有想过投资者的感受，公司股价连续几年大跌，现在大盘向上，公司股价却跟不上，请问公司业绩有没有造假，每年营业额连续高速增长，公司规模壮大，公司股价趴在地上。</w:t>
            </w:r>
          </w:p>
          <w:p w14:paraId="092256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股价波动受国家宏观经济环境、宏观政策、行业竞争以及公司的经营情况、投资者预期等多方面因素影响，公司一直严格按照会计准则要求进行财务核算，财务报表符合会计准则的核算要求，外部审计也对公司的财务报表发表了标准无保留的审计意见。能在资本市场有良好表现是全体股东和公司的共同目标，公司秉承稳健经营的原则，持续做好公司的各项经营管理工作，努力提升公司业绩以回报广大投资者。感谢您的关注！</w:t>
            </w:r>
          </w:p>
          <w:p w14:paraId="05551626">
            <w:pPr>
              <w:widowControl/>
              <w:spacing w:after="0" w:line="360" w:lineRule="auto"/>
              <w:rPr>
                <w:rFonts w:hint="eastAsia" w:ascii="宋体" w:hAnsi="宋体" w:eastAsia="宋体" w:cs="宋体"/>
                <w:kern w:val="0"/>
                <w:sz w:val="24"/>
                <w:szCs w:val="24"/>
                <w14:ligatures w14:val="none"/>
              </w:rPr>
            </w:pPr>
          </w:p>
          <w:p w14:paraId="2C3F6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.卢总，您好！请问公司目前股东人数是多少？</w:t>
            </w:r>
          </w:p>
          <w:p w14:paraId="18042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答：尊敬的投资者，您好！截止2024年9月30日，公司普通股股东总数为13,051人，感谢您的关注！</w:t>
            </w:r>
          </w:p>
          <w:p w14:paraId="720BEAB4">
            <w:pPr>
              <w:widowControl/>
              <w:spacing w:after="0" w:line="360" w:lineRule="auto"/>
              <w:rPr>
                <w:rFonts w:hint="eastAsia" w:ascii="宋体" w:hAnsi="宋体" w:eastAsia="宋体" w:cs="宋体"/>
                <w:kern w:val="0"/>
                <w:sz w:val="24"/>
                <w:szCs w:val="24"/>
                <w14:ligatures w14:val="none"/>
              </w:rPr>
            </w:pPr>
          </w:p>
          <w:p w14:paraId="4E37F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.卢总你好！请问公司有和那些头部主机厂合作?去年贵公司锁汇，人民币贬值对公司业绩影响很大，反向操作，今年人民币贬值对公司业绩是利好还是利空？</w:t>
            </w:r>
          </w:p>
          <w:p w14:paraId="53405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公司目前已与多家知名标杆汽车主机厂合作，包括国内知名新能源车企、合资车企等。2024年1-7月期间，美元兑人民币波动相对较小，但美元兑人民币掉期点很深，远期锁汇成本较高，2024年8月开始，由于美联储降息预期加强，美元兑人民币开始大幅度贬值。在此实际情况下，公司在风险中性的原则下，在内控制度规定在批准额度范围内，采用逢高结汇加短期滚动锁汇、货币互换等策略进行汇率管理，控制锁汇仓位，严格地执行远期锁汇相关的决策程序、报告制度、监控措施和信息披露，相较于2023年同期，取得了较好的效果。感谢您的关注！</w:t>
            </w:r>
          </w:p>
          <w:p w14:paraId="66A49585">
            <w:pPr>
              <w:widowControl/>
              <w:spacing w:after="0" w:line="360" w:lineRule="auto"/>
              <w:rPr>
                <w:rFonts w:hint="eastAsia" w:ascii="宋体" w:hAnsi="宋体" w:eastAsia="宋体" w:cs="宋体"/>
                <w:kern w:val="0"/>
                <w:sz w:val="24"/>
                <w:szCs w:val="24"/>
                <w14:ligatures w14:val="none"/>
              </w:rPr>
            </w:pPr>
          </w:p>
          <w:p w14:paraId="5308F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.能否介绍下以后分红的考虑，会不会大幅度提高现金分红比例，以提高分红收益率来提振股价和股民信心？</w:t>
            </w:r>
          </w:p>
          <w:p w14:paraId="19A021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为完善持续、稳定、科学的分红机制，积极回报股东，引导投资者形成稳定的投资回报预期，公司规划未来三年（2024年-2026年）股东回报如下：在符合现金分红的具体条件下，公司未来三年（2024年-2026年）以现金方式累计分配的利润不低于最近三年实现的年均可分配利润的90%；公司当年采用集中竞价方式回购股份所支付的现金视同现金红利。请详见公司于2024年4月30日发布的《上海永冠众诚新材料科技（集团）股份有限公司未来三年（2024年-2026年）股东回报规划》（公告编号：2024-045），感谢您的关注！</w:t>
            </w:r>
          </w:p>
          <w:p w14:paraId="2F29D872">
            <w:pPr>
              <w:widowControl/>
              <w:spacing w:after="0" w:line="360" w:lineRule="auto"/>
              <w:rPr>
                <w:rFonts w:hint="eastAsia" w:ascii="宋体" w:hAnsi="宋体" w:eastAsia="宋体" w:cs="宋体"/>
                <w:kern w:val="0"/>
                <w:sz w:val="24"/>
                <w:szCs w:val="24"/>
                <w14:ligatures w14:val="none"/>
              </w:rPr>
            </w:pPr>
          </w:p>
          <w:p w14:paraId="73614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.在大好形势下，股价为什么涨不起来？是不是以后增长趋势有限？或者市场竞争加剧？</w:t>
            </w:r>
          </w:p>
          <w:p w14:paraId="762B4F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股价波动受国家宏观经济环境、宏观政策、行业竞争以及公司的经营情况、投资者预期、板块轮动等多方面因素影响。公司秉承稳健经营的原则，持续做好公司的各项经营管理工作，近年来面对宏观环境挑战，行业整合升级提速，技术先进、成本控制能力强、能够持续创新的企业有望成为行业领导者，而技术落后的中小企业将面临市场淘汰风险。在这样的大背景下，公司营收规模持续逆势增长，行业集中度进一步提高，在传统品类稳健发展的同时，全面梳理汽车胶带事业部、工业胶带事业部等相关资源，包括团队整合、市场定位、设备优化、工艺规范等，挖掘发展潜力，加速“第二增长曲线”的探索布局。能在资本市场有良好表现是全体股东和公司的共同目标，公司将持续努力提升业绩以回报广大投资者。感谢您的关注！</w:t>
            </w:r>
          </w:p>
          <w:p w14:paraId="76896EB3">
            <w:pPr>
              <w:widowControl/>
              <w:spacing w:after="0" w:line="360" w:lineRule="auto"/>
              <w:rPr>
                <w:rFonts w:hint="eastAsia" w:ascii="宋体" w:hAnsi="宋体" w:eastAsia="宋体" w:cs="宋体"/>
                <w:kern w:val="0"/>
                <w:sz w:val="24"/>
                <w:szCs w:val="24"/>
                <w14:ligatures w14:val="none"/>
              </w:rPr>
            </w:pPr>
          </w:p>
          <w:p w14:paraId="1168C4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2" w:firstLineChars="200"/>
              <w:rPr>
                <w:rFonts w:hint="eastAsia" w:ascii="宋体" w:hAnsi="宋体" w:eastAsia="宋体" w:cs="宋体"/>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问</w:t>
            </w:r>
            <w:r>
              <w:rPr>
                <w:rFonts w:hint="eastAsia" w:ascii="宋体" w:hAnsi="宋体" w:eastAsia="宋体" w:cs="宋体"/>
                <w:b/>
                <w:bCs/>
                <w:color w:val="000000"/>
                <w:kern w:val="0"/>
                <w:sz w:val="24"/>
                <w:szCs w:val="24"/>
                <w14:ligatures w14:val="none"/>
              </w:rPr>
              <w:t>.公司的技术优势是什么？公司的毛利率这么低，越来越低，是什么原因？</w:t>
            </w:r>
          </w:p>
          <w:p w14:paraId="7B55F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80" w:firstLineChars="20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答：尊敬的投资者，您好！公司系高新技术企业、国家级专精特新小巨人、省级企业技术中心，通过多年自主研发，掌握基材制备、胶粘剂制备、涂布等多个关键工艺步骤的核心技术，关键生产设备拥有自主知识产权，产品通过欧盟REACH、RoHS、CE认证、美国UL认证、加拿大CSA认证、德国VDE认证、日本JIS认证、菲律宾BPS认证，绿色环保产品通过国标可降解认证、OKBiobased生物基含量认证、ISO14021循环含量认证、GRS全球回收标准认证，车用材料通过IATF16949质量管理体系认证等。</w:t>
            </w:r>
          </w:p>
          <w:p w14:paraId="2BBEFD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公司毛利率低主要受以下因素影响：1、宏观与行业环境：宏观环境复杂多变，疫情、地缘政治、贸易壁垒、战争、美联储加息、有效需求不足等等事情件层出不穷；行业面临需求转弱、供给冲击、内卷严重，导致行业竞争加剧，降价抢单，利润压缩的情况；2、新事业部新领域开拓：公司持续推动传统产品的结构升级、加快新业务新领域的拓展工作、开发更多的新客户和新产品，在孵化、研发、开拓期间，需要持续投入；3、产品结构影响：公司产品中OPP胶带与OPP膜销售占比持续上升，拉低了公司的综合毛利率。公司上市后，希望在行业进一步扩张提升份额、满足客户需要，延伸OPP产业链投资了拉膜线；随着上市后我们的报表信息透明化，引来竞争对手对产品和战略的跟风模仿，民用市场竞争加剧。除OPP胶带与OPP膜外，公司布基胶带、纸基胶带、PVC胶带、线束胶带等产品毛利率情况良好。随着我国经济延续回升向好，有效需求改善，公司孵化的新事业部销售起量，公司的综合毛利率会改善和回升。感谢您的关注！</w:t>
            </w:r>
          </w:p>
          <w:p w14:paraId="30261A6D">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firstLineChars="200"/>
              <w:rPr>
                <w:rFonts w:hint="eastAsia" w:ascii="宋体" w:hAnsi="宋体" w:eastAsia="宋体" w:cs="宋体"/>
                <w:sz w:val="24"/>
                <w:szCs w:val="24"/>
              </w:rPr>
            </w:pPr>
          </w:p>
          <w:p w14:paraId="35D9C28D">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rPr>
            </w:pPr>
          </w:p>
          <w:p w14:paraId="01122D76">
            <w:pPr>
              <w:keepNext w:val="0"/>
              <w:keepLines w:val="0"/>
              <w:widowControl/>
              <w:suppressLineNumbers w:val="0"/>
              <w:spacing w:line="360" w:lineRule="auto"/>
              <w:jc w:val="left"/>
              <w:rPr>
                <w:rFonts w:hint="eastAsia" w:asciiTheme="minorEastAsia" w:hAnsiTheme="minorEastAsia" w:eastAsiaTheme="minorEastAsia" w:cstheme="minorEastAsia"/>
                <w:sz w:val="24"/>
                <w:szCs w:val="24"/>
              </w:rPr>
            </w:pPr>
          </w:p>
          <w:p w14:paraId="05922E1A">
            <w:pPr>
              <w:pStyle w:val="14"/>
              <w:spacing w:line="360" w:lineRule="auto"/>
              <w:rPr>
                <w:rFonts w:hint="eastAsia" w:asciiTheme="minorEastAsia" w:hAnsiTheme="minorEastAsia" w:eastAsiaTheme="minorEastAsia" w:cstheme="minorEastAsia"/>
                <w:sz w:val="26"/>
              </w:rPr>
            </w:pPr>
          </w:p>
        </w:tc>
      </w:tr>
      <w:tr w14:paraId="6305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14:paraId="6187A30B">
            <w:pPr>
              <w:pStyle w:val="14"/>
              <w:spacing w:before="1"/>
              <w:ind w:left="10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附件清单（如有）</w:t>
            </w:r>
          </w:p>
        </w:tc>
        <w:tc>
          <w:tcPr>
            <w:tcW w:w="5945" w:type="dxa"/>
            <w:vAlign w:val="center"/>
          </w:tcPr>
          <w:p w14:paraId="78EEB9E7">
            <w:pPr>
              <w:pStyle w:val="14"/>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无</w:t>
            </w:r>
          </w:p>
        </w:tc>
      </w:tr>
      <w:tr w14:paraId="6071E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34895D24">
            <w:pPr>
              <w:pStyle w:val="14"/>
              <w:spacing w:before="1"/>
              <w:ind w:left="10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日期</w:t>
            </w:r>
          </w:p>
        </w:tc>
        <w:tc>
          <w:tcPr>
            <w:tcW w:w="5945" w:type="dxa"/>
            <w:vAlign w:val="center"/>
          </w:tcPr>
          <w:p w14:paraId="46C227D5">
            <w:pPr>
              <w:pStyle w:val="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p>
        </w:tc>
      </w:tr>
    </w:tbl>
    <w:p w14:paraId="25848615">
      <w:pPr>
        <w:rPr>
          <w:rFonts w:ascii="宋体" w:hAnsi="宋体" w:eastAsia="宋体" w:cs="宋体"/>
          <w:sz w:val="28"/>
          <w:szCs w:val="36"/>
        </w:rPr>
      </w:pPr>
      <w:bookmarkStart w:id="0" w:name="_GoBack"/>
      <w:bookmarkEnd w:id="0"/>
    </w:p>
    <w:sectPr>
      <w:type w:val="continuous"/>
      <w:pgSz w:w="11910" w:h="16840"/>
      <w:pgMar w:top="1440" w:right="1134" w:bottom="1440"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Helvetica Neue">
    <w:altName w:val="Times New Roman"/>
    <w:panose1 w:val="02000503000000020004"/>
    <w:charset w:val="00"/>
    <w:family w:val="auto"/>
    <w:pitch w:val="default"/>
    <w:sig w:usb0="00000000" w:usb1="00000000"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GViMjE4ZGYxN2E0YzI3NGViOWRmYmZkNWM2OW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95ADF"/>
    <w:rsid w:val="001E59D1"/>
    <w:rsid w:val="001E5EA4"/>
    <w:rsid w:val="00203527"/>
    <w:rsid w:val="002042A7"/>
    <w:rsid w:val="00205911"/>
    <w:rsid w:val="002146AD"/>
    <w:rsid w:val="00222260"/>
    <w:rsid w:val="00275CB6"/>
    <w:rsid w:val="002800B5"/>
    <w:rsid w:val="00295B29"/>
    <w:rsid w:val="002D4073"/>
    <w:rsid w:val="002E7098"/>
    <w:rsid w:val="00301D32"/>
    <w:rsid w:val="00307E6B"/>
    <w:rsid w:val="00331211"/>
    <w:rsid w:val="00366FAD"/>
    <w:rsid w:val="0037105B"/>
    <w:rsid w:val="003975BA"/>
    <w:rsid w:val="003A74E6"/>
    <w:rsid w:val="003B73DD"/>
    <w:rsid w:val="003D011C"/>
    <w:rsid w:val="004108C7"/>
    <w:rsid w:val="00412DC2"/>
    <w:rsid w:val="00440041"/>
    <w:rsid w:val="00451268"/>
    <w:rsid w:val="004515AD"/>
    <w:rsid w:val="00451857"/>
    <w:rsid w:val="00453516"/>
    <w:rsid w:val="00454E20"/>
    <w:rsid w:val="00456EA8"/>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2364A"/>
    <w:rsid w:val="00853463"/>
    <w:rsid w:val="00893F25"/>
    <w:rsid w:val="00895035"/>
    <w:rsid w:val="008B2B14"/>
    <w:rsid w:val="008C23E7"/>
    <w:rsid w:val="008C6AED"/>
    <w:rsid w:val="008C7604"/>
    <w:rsid w:val="008E1B27"/>
    <w:rsid w:val="00903379"/>
    <w:rsid w:val="00906975"/>
    <w:rsid w:val="00917F0B"/>
    <w:rsid w:val="00917F8B"/>
    <w:rsid w:val="009323C2"/>
    <w:rsid w:val="00960964"/>
    <w:rsid w:val="00965E4D"/>
    <w:rsid w:val="009B1D5C"/>
    <w:rsid w:val="009C2E31"/>
    <w:rsid w:val="009E1955"/>
    <w:rsid w:val="00A527AA"/>
    <w:rsid w:val="00A5684D"/>
    <w:rsid w:val="00A71CF2"/>
    <w:rsid w:val="00A75C61"/>
    <w:rsid w:val="00A9601B"/>
    <w:rsid w:val="00AD100E"/>
    <w:rsid w:val="00AE1E36"/>
    <w:rsid w:val="00AF74AA"/>
    <w:rsid w:val="00B03C2F"/>
    <w:rsid w:val="00B15064"/>
    <w:rsid w:val="00B340A3"/>
    <w:rsid w:val="00B410F5"/>
    <w:rsid w:val="00B6280C"/>
    <w:rsid w:val="00B671A4"/>
    <w:rsid w:val="00B72CD4"/>
    <w:rsid w:val="00B85B00"/>
    <w:rsid w:val="00BB641A"/>
    <w:rsid w:val="00BF132F"/>
    <w:rsid w:val="00C13878"/>
    <w:rsid w:val="00CA1705"/>
    <w:rsid w:val="00CE1A54"/>
    <w:rsid w:val="00CF5FB6"/>
    <w:rsid w:val="00D02518"/>
    <w:rsid w:val="00D0458B"/>
    <w:rsid w:val="00D17454"/>
    <w:rsid w:val="00D33FBC"/>
    <w:rsid w:val="00D57EFD"/>
    <w:rsid w:val="00D7535C"/>
    <w:rsid w:val="00D76302"/>
    <w:rsid w:val="00DA5CE2"/>
    <w:rsid w:val="00DE10E8"/>
    <w:rsid w:val="00DE23EB"/>
    <w:rsid w:val="00E16FDA"/>
    <w:rsid w:val="00E35F58"/>
    <w:rsid w:val="00E45BD9"/>
    <w:rsid w:val="00E66FFC"/>
    <w:rsid w:val="00E759D6"/>
    <w:rsid w:val="00E84A8C"/>
    <w:rsid w:val="00E976DE"/>
    <w:rsid w:val="00EC0F83"/>
    <w:rsid w:val="00EE3187"/>
    <w:rsid w:val="00EF499B"/>
    <w:rsid w:val="00F14977"/>
    <w:rsid w:val="00F74D7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2D70244"/>
    <w:rsid w:val="145F688C"/>
    <w:rsid w:val="15DD2205"/>
    <w:rsid w:val="17A67110"/>
    <w:rsid w:val="1864189B"/>
    <w:rsid w:val="18D73A7D"/>
    <w:rsid w:val="19557370"/>
    <w:rsid w:val="1BD06B6A"/>
    <w:rsid w:val="1F782BDE"/>
    <w:rsid w:val="23317869"/>
    <w:rsid w:val="25650CAE"/>
    <w:rsid w:val="26406598"/>
    <w:rsid w:val="28080056"/>
    <w:rsid w:val="28734C1A"/>
    <w:rsid w:val="28C72DDD"/>
    <w:rsid w:val="290F208E"/>
    <w:rsid w:val="29EE0E64"/>
    <w:rsid w:val="2A5D6CB9"/>
    <w:rsid w:val="2EF90F16"/>
    <w:rsid w:val="2F125C63"/>
    <w:rsid w:val="2FF64BF5"/>
    <w:rsid w:val="302C3D0A"/>
    <w:rsid w:val="33DE31BB"/>
    <w:rsid w:val="389C49C0"/>
    <w:rsid w:val="39BC78F4"/>
    <w:rsid w:val="3C6109FB"/>
    <w:rsid w:val="3E5F2AC2"/>
    <w:rsid w:val="3EF1250A"/>
    <w:rsid w:val="40567DB0"/>
    <w:rsid w:val="40FF5CD2"/>
    <w:rsid w:val="42DB40B0"/>
    <w:rsid w:val="43B71B0A"/>
    <w:rsid w:val="44FA0589"/>
    <w:rsid w:val="45A663E3"/>
    <w:rsid w:val="469F09AF"/>
    <w:rsid w:val="4B756271"/>
    <w:rsid w:val="4C8E1CA8"/>
    <w:rsid w:val="4D6D36A4"/>
    <w:rsid w:val="4D700A9E"/>
    <w:rsid w:val="510903EF"/>
    <w:rsid w:val="53F137F4"/>
    <w:rsid w:val="543A6906"/>
    <w:rsid w:val="543C5B7E"/>
    <w:rsid w:val="549353B6"/>
    <w:rsid w:val="56850CBB"/>
    <w:rsid w:val="5A666D76"/>
    <w:rsid w:val="5B2253C2"/>
    <w:rsid w:val="5CA95D7B"/>
    <w:rsid w:val="5D373313"/>
    <w:rsid w:val="5DCA39A0"/>
    <w:rsid w:val="603269D2"/>
    <w:rsid w:val="61A52BCA"/>
    <w:rsid w:val="650C1094"/>
    <w:rsid w:val="67095496"/>
    <w:rsid w:val="67ED7463"/>
    <w:rsid w:val="681A546A"/>
    <w:rsid w:val="69CB37D4"/>
    <w:rsid w:val="6A0D5B9B"/>
    <w:rsid w:val="6A3B23B1"/>
    <w:rsid w:val="6AEA32DC"/>
    <w:rsid w:val="6CC24AB5"/>
    <w:rsid w:val="6D9271B2"/>
    <w:rsid w:val="6E2421A8"/>
    <w:rsid w:val="6F134790"/>
    <w:rsid w:val="72446028"/>
    <w:rsid w:val="72DC512D"/>
    <w:rsid w:val="73076EC0"/>
    <w:rsid w:val="74210CA6"/>
    <w:rsid w:val="788C25F5"/>
    <w:rsid w:val="79F72AA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9"/>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annotation subject"/>
    <w:basedOn w:val="3"/>
    <w:next w:val="3"/>
    <w:link w:val="18"/>
    <w:autoRedefine/>
    <w:qFormat/>
    <w:uiPriority w:val="0"/>
    <w:rPr>
      <w:b/>
      <w:bCs/>
    </w:rPr>
  </w:style>
  <w:style w:type="character" w:styleId="12">
    <w:name w:val="Strong"/>
    <w:basedOn w:val="11"/>
    <w:qFormat/>
    <w:uiPriority w:val="0"/>
    <w:rPr>
      <w:b/>
    </w:rPr>
  </w:style>
  <w:style w:type="character" w:styleId="13">
    <w:name w:val="annotation reference"/>
    <w:basedOn w:val="11"/>
    <w:autoRedefine/>
    <w:qFormat/>
    <w:uiPriority w:val="0"/>
    <w:rPr>
      <w:sz w:val="21"/>
      <w:szCs w:val="21"/>
    </w:rPr>
  </w:style>
  <w:style w:type="paragraph" w:customStyle="1" w:styleId="14">
    <w:name w:val="Table Paragraph"/>
    <w:basedOn w:val="1"/>
    <w:qFormat/>
    <w:uiPriority w:val="1"/>
  </w:style>
  <w:style w:type="character" w:customStyle="1" w:styleId="15">
    <w:name w:val="页眉 Char"/>
    <w:basedOn w:val="11"/>
    <w:link w:val="7"/>
    <w:autoRedefine/>
    <w:qFormat/>
    <w:uiPriority w:val="0"/>
    <w:rPr>
      <w:rFonts w:ascii="仿宋" w:hAnsi="仿宋" w:eastAsia="仿宋" w:cs="仿宋"/>
      <w:sz w:val="18"/>
      <w:szCs w:val="18"/>
      <w:lang w:val="zh-CN" w:bidi="zh-CN"/>
    </w:rPr>
  </w:style>
  <w:style w:type="character" w:customStyle="1" w:styleId="16">
    <w:name w:val="页脚 Char"/>
    <w:basedOn w:val="11"/>
    <w:link w:val="6"/>
    <w:autoRedefine/>
    <w:qFormat/>
    <w:uiPriority w:val="0"/>
    <w:rPr>
      <w:rFonts w:ascii="仿宋" w:hAnsi="仿宋" w:eastAsia="仿宋" w:cs="仿宋"/>
      <w:sz w:val="18"/>
      <w:szCs w:val="18"/>
      <w:lang w:val="zh-CN" w:bidi="zh-CN"/>
    </w:rPr>
  </w:style>
  <w:style w:type="character" w:customStyle="1" w:styleId="17">
    <w:name w:val="批注文字 Char"/>
    <w:basedOn w:val="11"/>
    <w:link w:val="3"/>
    <w:autoRedefine/>
    <w:qFormat/>
    <w:uiPriority w:val="0"/>
    <w:rPr>
      <w:rFonts w:ascii="仿宋" w:hAnsi="仿宋" w:eastAsia="仿宋" w:cs="仿宋"/>
      <w:sz w:val="22"/>
      <w:szCs w:val="22"/>
      <w:lang w:val="zh-CN" w:bidi="zh-CN"/>
    </w:rPr>
  </w:style>
  <w:style w:type="character" w:customStyle="1" w:styleId="18">
    <w:name w:val="批注主题 Char"/>
    <w:basedOn w:val="17"/>
    <w:link w:val="9"/>
    <w:autoRedefine/>
    <w:qFormat/>
    <w:uiPriority w:val="0"/>
    <w:rPr>
      <w:rFonts w:ascii="仿宋" w:hAnsi="仿宋" w:eastAsia="仿宋" w:cs="仿宋"/>
      <w:b/>
      <w:bCs/>
      <w:sz w:val="22"/>
      <w:szCs w:val="22"/>
      <w:lang w:val="zh-CN" w:bidi="zh-CN"/>
    </w:rPr>
  </w:style>
  <w:style w:type="character" w:customStyle="1" w:styleId="19">
    <w:name w:val="批注框文本 Char"/>
    <w:basedOn w:val="11"/>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1432</Words>
  <Characters>1594</Characters>
  <Lines>16</Lines>
  <Paragraphs>4</Paragraphs>
  <TotalTime>6</TotalTime>
  <ScaleCrop>false</ScaleCrop>
  <LinksUpToDate>false</LinksUpToDate>
  <CharactersWithSpaces>1721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2022-11-08T08:18:00Z</dcterms:created>
  <dc:creator>jie.huang</dc:creator>
  <cp:lastModifiedBy>企业用户_537167023</cp:lastModifiedBy>
  <dcterms:modified xsi:type="dcterms:W3CDTF">2024-11-08T05:25:15Z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