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2BFB">
      <w:pPr>
        <w:pStyle w:val="2"/>
        <w:jc w:val="left"/>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603028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赛福天</w:t>
      </w:r>
    </w:p>
    <w:p w14:paraId="3860DA70">
      <w:pPr>
        <w:spacing w:line="360" w:lineRule="auto"/>
        <w:jc w:val="center"/>
        <w:rPr>
          <w:rFonts w:ascii="宋体" w:hAnsi="宋体" w:eastAsia="宋体" w:cs="宋体"/>
          <w:b/>
          <w:bCs/>
          <w:sz w:val="44"/>
          <w:szCs w:val="44"/>
        </w:rPr>
      </w:pPr>
    </w:p>
    <w:p w14:paraId="71D48D1F">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江苏赛福天集团股份有限公司</w:t>
      </w:r>
    </w:p>
    <w:p w14:paraId="41587480">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4EDF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B4F4CB3">
            <w:pPr>
              <w:pStyle w:val="12"/>
              <w:spacing w:before="7"/>
              <w:rPr>
                <w:rFonts w:ascii="宋体" w:hAnsi="宋体" w:eastAsia="宋体" w:cs="宋体"/>
                <w:b/>
                <w:bCs/>
                <w:sz w:val="20"/>
                <w:szCs w:val="20"/>
              </w:rPr>
            </w:pPr>
          </w:p>
          <w:p w14:paraId="400565E1">
            <w:pPr>
              <w:pStyle w:val="12"/>
              <w:spacing w:before="1"/>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12B2179">
            <w:pPr>
              <w:pStyle w:val="12"/>
              <w:spacing w:before="7"/>
              <w:rPr>
                <w:rFonts w:ascii="宋体" w:hAnsi="宋体" w:eastAsia="宋体" w:cs="宋体"/>
                <w:sz w:val="20"/>
                <w:szCs w:val="20"/>
              </w:rPr>
            </w:pPr>
          </w:p>
          <w:p w14:paraId="5847B2D6">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37C737DC">
            <w:pPr>
              <w:pStyle w:val="12"/>
              <w:spacing w:before="11"/>
              <w:rPr>
                <w:rFonts w:ascii="宋体" w:hAnsi="宋体" w:eastAsia="宋体" w:cs="宋体"/>
                <w:sz w:val="20"/>
                <w:szCs w:val="20"/>
              </w:rPr>
            </w:pPr>
          </w:p>
          <w:p w14:paraId="1687D28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48738E6A">
            <w:pPr>
              <w:pStyle w:val="12"/>
              <w:spacing w:before="8"/>
              <w:rPr>
                <w:rFonts w:ascii="宋体" w:hAnsi="宋体" w:eastAsia="宋体" w:cs="宋体"/>
                <w:sz w:val="20"/>
                <w:szCs w:val="20"/>
              </w:rPr>
            </w:pPr>
          </w:p>
          <w:p w14:paraId="5EE308E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024075AC">
            <w:pPr>
              <w:pStyle w:val="12"/>
              <w:spacing w:before="8"/>
              <w:rPr>
                <w:rFonts w:ascii="宋体" w:hAnsi="宋体" w:eastAsia="宋体" w:cs="宋体"/>
                <w:sz w:val="20"/>
                <w:szCs w:val="20"/>
              </w:rPr>
            </w:pPr>
          </w:p>
          <w:p w14:paraId="1BDD100C">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6E008CF">
            <w:pPr>
              <w:pStyle w:val="12"/>
              <w:spacing w:before="11"/>
              <w:rPr>
                <w:rFonts w:ascii="宋体" w:hAnsi="宋体" w:eastAsia="宋体" w:cs="宋体"/>
                <w:sz w:val="20"/>
                <w:szCs w:val="20"/>
              </w:rPr>
            </w:pPr>
          </w:p>
          <w:p w14:paraId="3E5A9110">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A5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3" w:hRule="atLeast"/>
          <w:jc w:val="center"/>
        </w:trPr>
        <w:tc>
          <w:tcPr>
            <w:tcW w:w="2580" w:type="dxa"/>
            <w:vAlign w:val="center"/>
          </w:tcPr>
          <w:p w14:paraId="7433FD78">
            <w:pPr>
              <w:pStyle w:val="12"/>
              <w:spacing w:line="240" w:lineRule="auto"/>
              <w:ind w:right="0"/>
              <w:jc w:val="both"/>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6131635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线上参与公司2024年第三季度业绩说明会的投资者</w:t>
            </w:r>
          </w:p>
        </w:tc>
      </w:tr>
      <w:tr w14:paraId="5B2D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958D5CC">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86F12A1">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2024年11月08日 15:00-16:00</w:t>
            </w:r>
          </w:p>
        </w:tc>
      </w:tr>
      <w:tr w14:paraId="1C456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BC0A428">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7FE948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22F7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10F3CFF">
            <w:pPr>
              <w:pStyle w:val="12"/>
              <w:spacing w:before="1"/>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3B21446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范青</w:t>
            </w:r>
            <w:r>
              <w:rPr>
                <w:rFonts w:ascii="宋体" w:hAnsi="宋体" w:eastAsia="宋体" w:cs="宋体"/>
                <w:sz w:val="20"/>
                <w:szCs w:val="20"/>
              </w:rPr>
              <w:br w:type="textWrapping"/>
            </w:r>
            <w:r>
              <w:rPr>
                <w:rFonts w:ascii="宋体" w:hAnsi="宋体" w:eastAsia="宋体" w:cs="宋体"/>
                <w:sz w:val="20"/>
                <w:szCs w:val="20"/>
              </w:rPr>
              <w:t>总经理兼财务总监 林柱英</w:t>
            </w:r>
            <w:r>
              <w:rPr>
                <w:rFonts w:ascii="宋体" w:hAnsi="宋体" w:eastAsia="宋体" w:cs="宋体"/>
                <w:sz w:val="20"/>
                <w:szCs w:val="20"/>
              </w:rPr>
              <w:br w:type="textWrapping"/>
            </w:r>
            <w:r>
              <w:rPr>
                <w:rFonts w:ascii="宋体" w:hAnsi="宋体" w:eastAsia="宋体" w:cs="宋体"/>
                <w:sz w:val="20"/>
                <w:szCs w:val="20"/>
              </w:rPr>
              <w:t>董事会秘书 左雨灵</w:t>
            </w:r>
            <w:r>
              <w:rPr>
                <w:rFonts w:ascii="宋体" w:hAnsi="宋体" w:eastAsia="宋体" w:cs="宋体"/>
                <w:sz w:val="20"/>
                <w:szCs w:val="20"/>
              </w:rPr>
              <w:br w:type="textWrapping"/>
            </w:r>
            <w:r>
              <w:rPr>
                <w:rFonts w:ascii="宋体" w:hAnsi="宋体" w:eastAsia="宋体" w:cs="宋体"/>
                <w:sz w:val="20"/>
                <w:szCs w:val="20"/>
              </w:rPr>
              <w:t>独立董事 李朝晖</w:t>
            </w:r>
          </w:p>
        </w:tc>
      </w:tr>
      <w:tr w14:paraId="4D3C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C853FF3">
            <w:pPr>
              <w:pStyle w:val="12"/>
              <w:rPr>
                <w:rFonts w:ascii="宋体" w:hAnsi="宋体" w:eastAsia="宋体" w:cs="宋体"/>
                <w:b/>
                <w:bCs/>
                <w:sz w:val="20"/>
                <w:szCs w:val="20"/>
              </w:rPr>
            </w:pPr>
          </w:p>
          <w:p w14:paraId="416510A1">
            <w:pPr>
              <w:pStyle w:val="12"/>
              <w:rPr>
                <w:rFonts w:ascii="宋体" w:hAnsi="宋体" w:eastAsia="宋体" w:cs="宋体"/>
                <w:b/>
                <w:bCs/>
                <w:sz w:val="20"/>
                <w:szCs w:val="20"/>
              </w:rPr>
            </w:pPr>
          </w:p>
          <w:p w14:paraId="30D17288">
            <w:pPr>
              <w:pStyle w:val="12"/>
              <w:spacing w:before="5"/>
              <w:rPr>
                <w:rFonts w:ascii="宋体" w:hAnsi="宋体" w:eastAsia="宋体" w:cs="宋体"/>
                <w:b/>
                <w:bCs/>
                <w:sz w:val="20"/>
                <w:szCs w:val="20"/>
              </w:rPr>
            </w:pPr>
          </w:p>
          <w:p w14:paraId="4BCB5918">
            <w:pPr>
              <w:pStyle w:val="12"/>
              <w:spacing w:before="1" w:line="499" w:lineRule="auto"/>
              <w:ind w:right="96"/>
              <w:rPr>
                <w:rFonts w:hint="eastAsia" w:ascii="宋体" w:hAnsi="宋体" w:eastAsia="宋体" w:cs="宋体"/>
                <w:b/>
                <w:bCs/>
                <w:sz w:val="20"/>
                <w:szCs w:val="20"/>
              </w:rPr>
            </w:pPr>
            <w:r>
              <w:rPr>
                <w:rFonts w:hint="eastAsia" w:ascii="宋体" w:hAnsi="宋体" w:eastAsia="宋体" w:cs="宋体"/>
                <w:b/>
                <w:bCs/>
                <w:sz w:val="20"/>
                <w:szCs w:val="20"/>
              </w:rPr>
              <w:t>投资者关系活动主要内容</w:t>
            </w:r>
          </w:p>
          <w:p w14:paraId="48AE12C6">
            <w:pPr>
              <w:pStyle w:val="12"/>
              <w:spacing w:before="1" w:line="499" w:lineRule="auto"/>
              <w:ind w:right="96"/>
              <w:rPr>
                <w:rFonts w:ascii="宋体" w:hAnsi="宋体" w:eastAsia="宋体" w:cs="宋体"/>
                <w:b/>
                <w:bCs/>
                <w:sz w:val="20"/>
                <w:szCs w:val="20"/>
              </w:rPr>
            </w:pPr>
            <w:r>
              <w:rPr>
                <w:rFonts w:hint="eastAsia" w:ascii="宋体" w:hAnsi="宋体" w:eastAsia="宋体" w:cs="宋体"/>
                <w:b/>
                <w:bCs/>
                <w:sz w:val="20"/>
                <w:szCs w:val="20"/>
              </w:rPr>
              <w:t>介绍</w:t>
            </w:r>
          </w:p>
        </w:tc>
        <w:tc>
          <w:tcPr>
            <w:tcW w:w="5945" w:type="dxa"/>
          </w:tcPr>
          <w:p w14:paraId="5A3B971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1.在钢丝绳及索具等传统业务方面，与同行业竞争对手相比，核心竞争力体现在哪些方面？在当前市场环境下，如何进一步巩固和提升这些优势？</w:t>
            </w:r>
            <w:r>
              <w:rPr>
                <w:rFonts w:ascii="宋体" w:hAnsi="宋体" w:eastAsia="宋体" w:cs="宋体"/>
                <w:b/>
                <w:sz w:val="20"/>
              </w:rPr>
              <w:br w:type="textWrapping"/>
            </w:r>
            <w:r>
              <w:rPr>
                <w:rFonts w:ascii="宋体" w:hAnsi="宋体" w:eastAsia="宋体" w:cs="宋体"/>
                <w:b w:val="0"/>
                <w:sz w:val="20"/>
              </w:rPr>
              <w:t xml:space="preserve">    答:尊敬的投资者，您好！公司为电梯用钢丝绳龙头企业且是国家级专精特新“小巨人”企业。竞争优势主要体现在成本控制、产品研发和品牌影响力三个方面。从产品成本结构来看，公司建立了强大的供应链整合体系，与众多优质供应商建立了长期稳定的合作关系。通过高效的供应链管理，能够确保原材料的及时供应和成本的有效控制。从产品技术研发来看，公司是电梯用钢丝绳国家标准主要起草单位，定期报告中披露公司拥有钢丝绳及索具专利215件，在技术研发能力上有足够的优势。后续公司将继续加大研发投入，注重技术突破，开发出满足市场需求的新产品，保持公司在技术和产品方面的领先优势。从品牌影响力来看，在电梯绳领域，公司主要客户已覆盖全球前10大知名电梯主机厂商。在起重绳领域，公司与中联重科、徐工集团、三一重工等具有全球影响力的工程机械制造企业保持长期良好的合作关系。索具领域，公司产品广泛应用于港口、造船、工程机械、大物运输等重要行业。后续公司仍将升级品牌影响力，更好地服务客户，赋能终端。感谢您的关注！</w:t>
            </w:r>
            <w:r>
              <w:rPr>
                <w:rFonts w:ascii="宋体" w:hAnsi="宋体" w:eastAsia="宋体" w:cs="宋体"/>
                <w:b w:val="0"/>
                <w:sz w:val="20"/>
              </w:rPr>
              <w:br w:type="textWrapping"/>
            </w:r>
            <w:r>
              <w:rPr>
                <w:rFonts w:ascii="宋体" w:hAnsi="宋体" w:eastAsia="宋体" w:cs="宋体"/>
                <w:b/>
                <w:sz w:val="20"/>
              </w:rPr>
              <w:t xml:space="preserve">    2.请问董事长，赛福天新能源吸收南京美达伦进展如何？</w:t>
            </w:r>
            <w:r>
              <w:rPr>
                <w:rFonts w:ascii="宋体" w:hAnsi="宋体" w:eastAsia="宋体" w:cs="宋体"/>
                <w:b/>
                <w:sz w:val="20"/>
              </w:rPr>
              <w:br w:type="textWrapping"/>
            </w:r>
            <w:r>
              <w:rPr>
                <w:rFonts w:ascii="宋体" w:hAnsi="宋体" w:eastAsia="宋体" w:cs="宋体"/>
                <w:b w:val="0"/>
                <w:sz w:val="20"/>
              </w:rPr>
              <w:t xml:space="preserve">    答:尊敬的投资者，您好！2024年4月7日，公司第五届董事会第三次会议和第五届监事会第二次会议审议通过了《关于控股公司吸收合并其全资子公司的议案》，同意公司控股公司赛福天新能源吸收合并其全资子公司南京美达伦。后续如有相关进展，公司将严格按照规定及时履行信息披露义务，谢谢您的关注！</w:t>
            </w:r>
            <w:r>
              <w:rPr>
                <w:rFonts w:ascii="宋体" w:hAnsi="宋体" w:eastAsia="宋体" w:cs="宋体"/>
                <w:b w:val="0"/>
                <w:sz w:val="20"/>
              </w:rPr>
              <w:br w:type="textWrapping"/>
            </w:r>
            <w:r>
              <w:rPr>
                <w:rFonts w:ascii="宋体" w:hAnsi="宋体" w:eastAsia="宋体" w:cs="宋体"/>
                <w:b/>
                <w:sz w:val="20"/>
              </w:rPr>
              <w:t xml:space="preserve">    3.请问董事长，公司光伏板块计划海外建厂的进度？</w:t>
            </w:r>
            <w:r>
              <w:rPr>
                <w:rFonts w:ascii="宋体" w:hAnsi="宋体" w:eastAsia="宋体" w:cs="宋体"/>
                <w:b/>
                <w:sz w:val="20"/>
              </w:rPr>
              <w:br w:type="textWrapping"/>
            </w:r>
            <w:r>
              <w:rPr>
                <w:rFonts w:ascii="宋体" w:hAnsi="宋体" w:eastAsia="宋体" w:cs="宋体"/>
                <w:b w:val="0"/>
                <w:sz w:val="20"/>
              </w:rPr>
              <w:t xml:space="preserve">    答:尊敬的投资者，您好。公司重视海外发展机会，积极关注与研究海外布局，公司将结合海外市场政策及自身情况布局海外发展。感谢您的关注。</w:t>
            </w:r>
            <w:r>
              <w:rPr>
                <w:rFonts w:ascii="宋体" w:hAnsi="宋体" w:eastAsia="宋体" w:cs="宋体"/>
                <w:b w:val="0"/>
                <w:sz w:val="20"/>
              </w:rPr>
              <w:br w:type="textWrapping"/>
            </w:r>
            <w:r>
              <w:rPr>
                <w:rFonts w:ascii="宋体" w:hAnsi="宋体" w:eastAsia="宋体" w:cs="宋体"/>
                <w:b/>
                <w:sz w:val="20"/>
              </w:rPr>
              <w:t xml:space="preserve">    4.公司是否会考虑使用回购和增持专项贷款？</w:t>
            </w:r>
            <w:r>
              <w:rPr>
                <w:rFonts w:ascii="宋体" w:hAnsi="宋体" w:eastAsia="宋体" w:cs="宋体"/>
                <w:b/>
                <w:sz w:val="20"/>
              </w:rPr>
              <w:br w:type="textWrapping"/>
            </w:r>
            <w:r>
              <w:rPr>
                <w:rFonts w:ascii="宋体" w:hAnsi="宋体" w:eastAsia="宋体" w:cs="宋体"/>
                <w:b w:val="0"/>
                <w:sz w:val="20"/>
              </w:rPr>
              <w:t xml:space="preserve">    答:尊敬的投资者，您好！2024年4月7日，公司召开第五届董事会第三次会议及第五届监事会第二次会议，审议通过了《关于以集中竞价交易方式回购股份方案的议案》，同意公司用3,000万元（含）至6,000万元（含）人民币的自有资金或自筹资金回购公司股份，回购的股份将全部用于股权激励或员工持股计划。截至2024年11月5日，公司通过集中竞价交易方式累计回购股份5,005,200</w:t>
            </w:r>
            <w:bookmarkStart w:id="0" w:name="_GoBack"/>
            <w:bookmarkEnd w:id="0"/>
            <w:r>
              <w:rPr>
                <w:rFonts w:ascii="宋体" w:hAnsi="宋体" w:eastAsia="宋体" w:cs="宋体"/>
                <w:b w:val="0"/>
                <w:sz w:val="20"/>
              </w:rPr>
              <w:t>股，累计已回购股份占公司总股本比例的1.74%，交易总金额为30,004,335.10元。关于专项贷款政策公司目前还在进行研究。感谢您的关注。</w:t>
            </w:r>
            <w:r>
              <w:rPr>
                <w:rFonts w:ascii="宋体" w:hAnsi="宋体" w:eastAsia="宋体" w:cs="宋体"/>
                <w:b w:val="0"/>
                <w:sz w:val="20"/>
              </w:rPr>
              <w:br w:type="textWrapping"/>
            </w:r>
            <w:r>
              <w:rPr>
                <w:rFonts w:ascii="宋体" w:hAnsi="宋体" w:eastAsia="宋体" w:cs="宋体"/>
                <w:b/>
                <w:sz w:val="20"/>
              </w:rPr>
              <w:t xml:space="preserve">    5.2024年1-9月和去年同期相比净利润下降较大，是什么原因？</w:t>
            </w:r>
            <w:r>
              <w:rPr>
                <w:rFonts w:ascii="宋体" w:hAnsi="宋体" w:eastAsia="宋体" w:cs="宋体"/>
                <w:b/>
                <w:sz w:val="20"/>
              </w:rPr>
              <w:br w:type="textWrapping"/>
            </w:r>
            <w:r>
              <w:rPr>
                <w:rFonts w:ascii="宋体" w:hAnsi="宋体" w:eastAsia="宋体" w:cs="宋体"/>
                <w:b w:val="0"/>
                <w:sz w:val="20"/>
              </w:rPr>
              <w:t xml:space="preserve">    答:尊敬的投资者，您好。2024年1-9月净利润下降原因主要是受整体光伏产业链价格下行影响，公司光伏电池片销售价格走低，导致公司净利润减少。感谢您的关注。</w:t>
            </w:r>
            <w:r>
              <w:rPr>
                <w:rFonts w:ascii="宋体" w:hAnsi="宋体" w:eastAsia="宋体" w:cs="宋体"/>
                <w:b w:val="0"/>
                <w:sz w:val="20"/>
              </w:rPr>
              <w:br w:type="textWrapping"/>
            </w:r>
            <w:r>
              <w:rPr>
                <w:rFonts w:ascii="宋体" w:hAnsi="宋体" w:eastAsia="宋体" w:cs="宋体"/>
                <w:b/>
                <w:sz w:val="20"/>
              </w:rPr>
              <w:t xml:space="preserve">    6.在光伏电池片价格低迷的市场环境下，公司有什么措施？</w:t>
            </w:r>
            <w:r>
              <w:rPr>
                <w:rFonts w:ascii="宋体" w:hAnsi="宋体" w:eastAsia="宋体" w:cs="宋体"/>
                <w:b/>
                <w:sz w:val="20"/>
              </w:rPr>
              <w:br w:type="textWrapping"/>
            </w:r>
            <w:r>
              <w:rPr>
                <w:rFonts w:ascii="宋体" w:hAnsi="宋体" w:eastAsia="宋体" w:cs="宋体"/>
                <w:b w:val="0"/>
                <w:sz w:val="20"/>
              </w:rPr>
              <w:t xml:space="preserve">    答:尊敬的投资者，您好！在当前市场环境下，公司通过多维度举措来提升公司业绩，为股东创造更大价值。具体而言，一方面公司内部加强降本增效管理，优化产品和客户服务，以提高市场竞争力和吸引力；另一方面加强市场营销能力，拓宽市场覆盖范围；同时公司也高度关注员工成长、团队建设，着力打造一支富有凝聚力和战斗力的队伍以应对多变的市场环境。感谢您的关注。</w:t>
            </w:r>
            <w:r>
              <w:rPr>
                <w:rFonts w:ascii="宋体" w:hAnsi="宋体" w:eastAsia="宋体" w:cs="宋体"/>
                <w:b w:val="0"/>
                <w:sz w:val="20"/>
              </w:rPr>
              <w:br w:type="textWrapping"/>
            </w:r>
            <w:r>
              <w:rPr>
                <w:rFonts w:ascii="宋体" w:hAnsi="宋体" w:eastAsia="宋体" w:cs="宋体"/>
                <w:b/>
                <w:sz w:val="20"/>
              </w:rPr>
              <w:t xml:space="preserve">    7.对于光伏行业限制各个环节产能利用率的说法怎么看？</w:t>
            </w:r>
            <w:r>
              <w:rPr>
                <w:rFonts w:ascii="宋体" w:hAnsi="宋体" w:eastAsia="宋体" w:cs="宋体"/>
                <w:b/>
                <w:sz w:val="20"/>
              </w:rPr>
              <w:br w:type="textWrapping"/>
            </w:r>
            <w:r>
              <w:rPr>
                <w:rFonts w:ascii="宋体" w:hAnsi="宋体" w:eastAsia="宋体" w:cs="宋体"/>
                <w:b w:val="0"/>
                <w:sz w:val="20"/>
              </w:rPr>
              <w:t xml:space="preserve">    答:尊敬的投资者，您好！关于上述信息公司暂未收到相关正式的政策文件要求，公司将持续密切关注行业政策与动向，做好生产经营管理，推动公司高质量发展，感谢您的关注。</w:t>
            </w:r>
            <w:r>
              <w:rPr>
                <w:rFonts w:ascii="宋体" w:hAnsi="宋体" w:eastAsia="宋体" w:cs="宋体"/>
                <w:b w:val="0"/>
                <w:sz w:val="20"/>
              </w:rPr>
              <w:br w:type="textWrapping"/>
            </w:r>
            <w:r>
              <w:rPr>
                <w:rFonts w:ascii="宋体" w:hAnsi="宋体" w:eastAsia="宋体" w:cs="宋体"/>
                <w:b/>
                <w:sz w:val="20"/>
              </w:rPr>
              <w:t xml:space="preserve">    8.在光伏电池片上的是否有新技术布局？</w:t>
            </w:r>
            <w:r>
              <w:rPr>
                <w:rFonts w:ascii="宋体" w:hAnsi="宋体" w:eastAsia="宋体" w:cs="宋体"/>
                <w:b/>
                <w:sz w:val="20"/>
              </w:rPr>
              <w:br w:type="textWrapping"/>
            </w:r>
            <w:r>
              <w:rPr>
                <w:rFonts w:ascii="宋体" w:hAnsi="宋体" w:eastAsia="宋体" w:cs="宋体"/>
                <w:b w:val="0"/>
                <w:sz w:val="20"/>
              </w:rPr>
              <w:t xml:space="preserve">    答:尊敬的投资者，您好！公司一直持续关注光伏电池片技术的发展，一方面持续深入研究有助于提升TOPCon效率以及降低生产成本的新技术，紧密配合产线提效优化工作；另一方面公司设有新能源光伏研究院并引入博士专家，专门从事光伏前沿技术研究。公司将围绕新技术的发展前景和公司发展战略，积极把握发展机会，感谢您的关注。</w:t>
            </w:r>
          </w:p>
        </w:tc>
      </w:tr>
      <w:tr w14:paraId="564A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035BA056">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2EC3557E">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1EB1C40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04A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A0A6DBD">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4A00613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623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EB46BB0">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14413731">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2024年11月08日</w:t>
            </w:r>
          </w:p>
        </w:tc>
      </w:tr>
    </w:tbl>
    <w:p w14:paraId="795C48AC">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3Y2Q5OWM4N2I0ODY1Yzg5YTA0Y2Q4ZDM2NmZjOD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2F78D5"/>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7DA2EEE"/>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1814</Words>
  <Characters>1938</Characters>
  <Lines>2</Lines>
  <Paragraphs>1</Paragraphs>
  <TotalTime>4</TotalTime>
  <ScaleCrop>false</ScaleCrop>
  <LinksUpToDate>false</LinksUpToDate>
  <CharactersWithSpaces>2060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SFT</cp:lastModifiedBy>
  <dcterms:modified xsi:type="dcterms:W3CDTF">2024-11-08T08:14:57Z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