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071"/>
        </w:tabs>
        <w:spacing w:line="360" w:lineRule="auto"/>
        <w:ind w:left="0" w:right="22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证券代码</w:t>
      </w:r>
      <w:r>
        <w:rPr>
          <w:rFonts w:hint="eastAsia"/>
          <w:spacing w:val="-48"/>
          <w:lang w:eastAsia="zh-CN"/>
        </w:rPr>
        <w:t>：</w:t>
      </w:r>
      <w:r>
        <w:rPr>
          <w:rFonts w:hint="eastAsia" w:cs="宋体"/>
          <w:lang w:eastAsia="zh-CN"/>
        </w:rPr>
        <w:t>600061</w:t>
      </w:r>
      <w:r>
        <w:rPr>
          <w:rFonts w:cs="宋体"/>
          <w:lang w:eastAsia="zh-CN"/>
        </w:rPr>
        <w:t xml:space="preserve">                                  </w:t>
      </w:r>
      <w:r>
        <w:rPr>
          <w:rFonts w:hint="eastAsia"/>
          <w:lang w:eastAsia="zh-CN"/>
        </w:rPr>
        <w:t>证券简称</w:t>
      </w:r>
      <w:r>
        <w:rPr>
          <w:rFonts w:hint="eastAsia"/>
          <w:spacing w:val="-48"/>
          <w:lang w:eastAsia="zh-CN"/>
        </w:rPr>
        <w:t>：</w:t>
      </w:r>
      <w:r>
        <w:rPr>
          <w:rFonts w:hint="eastAsia"/>
          <w:lang w:eastAsia="zh-CN"/>
        </w:rPr>
        <w:t>国投资本</w:t>
      </w:r>
    </w:p>
    <w:p>
      <w:pPr>
        <w:spacing w:line="360" w:lineRule="auto"/>
        <w:rPr>
          <w:rFonts w:hint="eastAsia"/>
          <w:sz w:val="20"/>
          <w:szCs w:val="20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2"/>
          <w:sz w:val="32"/>
          <w:szCs w:val="32"/>
          <w:lang w:eastAsia="zh-CN"/>
        </w:rPr>
        <w:t>国投资本股份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</w:t>
      </w:r>
      <w:r>
        <w:rPr>
          <w:rFonts w:hint="eastAsia" w:ascii="宋体" w:hAnsi="宋体" w:eastAsia="宋体" w:cs="宋体"/>
          <w:spacing w:val="2"/>
          <w:sz w:val="32"/>
          <w:szCs w:val="32"/>
          <w:lang w:eastAsia="zh-CN"/>
        </w:rPr>
        <w:t>限公司投资者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关</w:t>
      </w:r>
      <w:r>
        <w:rPr>
          <w:rFonts w:hint="eastAsia" w:ascii="宋体" w:hAnsi="宋体" w:eastAsia="宋体" w:cs="宋体"/>
          <w:spacing w:val="2"/>
          <w:sz w:val="32"/>
          <w:szCs w:val="32"/>
          <w:lang w:eastAsia="zh-CN"/>
        </w:rPr>
        <w:t>系活动记录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775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投资者关系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4224" w:type="pct"/>
            <w:vAlign w:val="center"/>
          </w:tcPr>
          <w:p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特定对象调研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分析师会议</w:t>
            </w:r>
          </w:p>
          <w:p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□ 媒体采访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业绩说明会</w:t>
            </w:r>
          </w:p>
          <w:p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新闻发布会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□ 现场参观 </w:t>
            </w:r>
          </w:p>
          <w:p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路演活动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一对一沟通</w:t>
            </w:r>
          </w:p>
          <w:p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其他_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___________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75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224" w:type="pct"/>
            <w:vAlign w:val="center"/>
          </w:tcPr>
          <w:p>
            <w:pPr>
              <w:pStyle w:val="11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75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4224" w:type="pct"/>
            <w:vAlign w:val="center"/>
          </w:tcPr>
          <w:p>
            <w:pPr>
              <w:pStyle w:val="11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上海，现场交流（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75" w:type="pct"/>
            <w:vAlign w:val="center"/>
          </w:tcPr>
          <w:p>
            <w:pPr>
              <w:pStyle w:val="11"/>
              <w:spacing w:before="75" w:line="360" w:lineRule="auto"/>
              <w:ind w:right="14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224" w:type="pct"/>
            <w:vAlign w:val="center"/>
          </w:tcPr>
          <w:p>
            <w:pPr>
              <w:pStyle w:val="11"/>
              <w:tabs>
                <w:tab w:val="left" w:pos="2022"/>
                <w:tab w:val="left" w:pos="2502"/>
                <w:tab w:val="left" w:pos="3342"/>
                <w:tab w:val="left" w:pos="4782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富国基金、中欧基金、财通基金、华安基金、万家基金、国投瑞银基金、亘曦资产、民生证券、方正证券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75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公司</w:t>
            </w:r>
          </w:p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席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人员</w:t>
            </w:r>
          </w:p>
        </w:tc>
        <w:tc>
          <w:tcPr>
            <w:tcW w:w="4224" w:type="pct"/>
            <w:vAlign w:val="center"/>
          </w:tcPr>
          <w:p>
            <w:pPr>
              <w:pStyle w:val="11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副总经理兼董事会秘书 于晓扬</w:t>
            </w:r>
          </w:p>
          <w:p>
            <w:pPr>
              <w:pStyle w:val="11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证券事务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代表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林莉尔</w:t>
            </w:r>
          </w:p>
          <w:p>
            <w:pPr>
              <w:pStyle w:val="11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证券事务部相关人员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75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投资者关系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4224" w:type="pct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国投资本作为国投集团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旗下的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产业金融管理平台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，在当前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政策与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市场环境下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，对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未来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发展的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总体规划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如何？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业务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转型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发力点在哪些方面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中央金融工作会议对金融行业提出了新的要求，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党的二十届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三中全会也突出强调了深化金融体制改革的任务，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为高质量贯彻落实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相关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会议精神和习总书记关于金融工作的重要论述精神，国投资本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聚焦产业金融管理平台定位，积极围绕产业金融方向优化金融业务布局，塑造金融企业核心竞争力，打造发展合力。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2024年，公司重点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3"/>
              </w:rPr>
              <w:t>开展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了业务战略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大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梳理工作，形成了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3"/>
              </w:rPr>
              <w:t>国投资本专业化管理提升和主要子公司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业务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转型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3"/>
              </w:rPr>
              <w:t>发展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方案。未来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将立足产业金融管理平台定位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以风险管理为核心，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  <w:woUserID w:val="1"/>
              </w:rPr>
              <w:t>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战略闭环为牵引，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  <w:woUserID w:val="1"/>
              </w:rPr>
              <w:t>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运营督导为抓手，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  <w:woUserID w:val="1"/>
              </w:rPr>
              <w:t>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业绩考核为导向，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  <w:woUserID w:val="1"/>
              </w:rPr>
              <w:t>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中后台支撑为保障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推动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子公司业务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转型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方案落实落地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公司将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秉持“突出核心竞争力、差异化和特色化”原则，聚焦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各金融企业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最擅长、最核心的领域进行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2"/>
              </w:rPr>
              <w:t>业务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转型，打造具有各自特色的专业核心竞争力，形成具有国投特点的“产融协同、以融助产”协同模式，不断推动公司可持续高质量发展。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证券业务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  <w:t>方面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  <w:t>基于对政策环境、行业背景及自身禀赋的综合研判，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2"/>
              </w:rPr>
              <w:t>未来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将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  <w:t>着力打造“有核心竞争力、突出特色的一流产业投行”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  <w:t>向“赛道聚焦、投承联动、产融结合”的产业金融转型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  <w:t>；</w:t>
            </w:r>
            <w:r>
              <w:rPr>
                <w:rFonts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成立国投产业研究院</w:t>
            </w:r>
            <w:r>
              <w:rPr>
                <w:rFonts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  <w:t>，推动产业研究与证券研究共同发展；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全面推进企业家综合服务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  <w:t>，完善产品体系与服务模式；构建“研投顾”财富管理体系，推动总部赋能分支的“一体化”建设，实现平台化能力输出</w:t>
            </w:r>
            <w:r>
              <w:rPr>
                <w:rFonts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2"/>
              </w:rPr>
              <w:t>。</w:t>
            </w:r>
            <w:r>
              <w:rPr>
                <w:rFonts w:ascii="宋体" w:hAnsi="宋体" w:eastAsia="宋体" w:cs="宋体"/>
                <w:bCs/>
                <w:sz w:val="24"/>
                <w:szCs w:val="24"/>
                <w:highlight w:val="none"/>
                <w:lang w:eastAsia="zh-CN"/>
                <w:woUserID w:val="1"/>
              </w:rPr>
              <w:t>信托业务方面，将着力打造财富管理能力，构建家庭金融服务体系，服务广大人民对美好生活的需求；提升资产配置及标品投资能力，建立可持续、有特色的资产管理业务能力；通过养老信托、慈善信托、私募股权投资等业务加强与国投集团及其成员企业的协同，促进产融结合与业务转型发展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2、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上半年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国投证券自营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业务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业绩表现良好，具体投资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收益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结构如何？后续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权益投资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业务配置的思路是怎么样的？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国投证券母公司上半年投资收益主要由固定收益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投资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3"/>
              </w:rPr>
              <w:t>贡献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。上半年，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固定收益投资前瞻性把握市场走势，积极应对市场波动，主动提升风险偏好，灵活调整敞口规模，严控信用风险，未发生信用风险事件，并获得较好的投资收益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；权益投资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积极应对市场波动，聚焦中长期稳健投资策略，进一步提升高股息策略配置力度和精细化管理程度，获取稳健投资收益。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下一步，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国投证券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自营业务将继续坚持绝对收益目标，对市场保持理性和客观的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3"/>
              </w:rPr>
              <w:t>研判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，加大对政策进展、宏微观数据的跟踪力度，动态调整权益敞口暴露，保持合理适度的风险水平，同时积极布局稳增长政策预期利好且经营稳健的优质上市公司。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3、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投行业务方面，公司在新形势下对于投行业务的战略布局是怎么样的？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国投证券始终紧紧围绕服务实体经济的宗旨，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2"/>
              </w:rPr>
              <w:t>致力于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构建“行业+投资+分公司+研究”的大投行服务生态，增强业务资源整合协同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，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努力打造特色产业投行，服务新质生产力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具体而言：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一是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优化股权业务结构，从IPO业务为主向“IPO+再融资+并购等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”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多元化股权融资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业务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转型。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二是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继续大力开发央国企客户，优化客户结构和产品结构，通过股债联动、债权带动股权模式争取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更多业务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机会。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三是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调整组织和业务模式，坚持深耕理念。围绕“大”、“新”两类目标客户，通过深度服务和战略协同绑定，深耕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国投证券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投行具有资源禀赋优势的龙头企业、优势行业、重点区域、关键合作伙伴。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四是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深化内部协同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，依托国投集团产业资源禀赋，深入挖潜业务协同机会，围绕集团旗下产业基金业务提供“募、投、管、退”全周期综合金融服务，打造产业投行。同时，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协助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各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分支机构打造机构业务团队，通过“投行+分支机构”的协同模式，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积极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覆盖重点业务地区。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五是</w:t>
            </w:r>
            <w:r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  <w:t>推动境内外一体化，积极布局海外市场。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4、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国投证券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9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月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24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日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以来新开户增长情况如何？不同获客渠道的新开户情况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如何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自9月24日以来，国家出台了一系列利好经济的政策，股票市场也跟着持续走强，股市受到市场的强烈关注，客户新开证券账户的热情高涨，受行情影响，国投证券整体开户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量较9月24日之前有较大幅度的提升。期间新开客户参与交易的意愿较为强烈，客户转入资金和已参与交易的客户数占比较平时也有提高。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国投证券自2015年开始积极进入互联网证券领域，开展线上线下相结合的展业模式，并积极推动财富管理转型。国投证券已打造具有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自身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特色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和行业竞争力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的国投证券APP，在客户端形成智能化交易体系和数智化陪伴服务生态，并同蚂蚁财富、同花顺等互联网平台合作，积极通过金融科技驱动业务创新，做大客户及AUM规模。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5、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财富管理方面，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公司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2024年上半年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含财率（财富管理收入/营业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总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收入）达到21.06%，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2"/>
              </w:rPr>
              <w:t>未来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  <w:woUserID w:val="1"/>
              </w:rPr>
              <w:t>国投证券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在财富管理转型方面有哪些举措？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国投证券已全面启动“研投顾”财富管理转型，加快构建“研-投-顾”标准工作流程，以提升客户获得感为财富管理转型目标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2"/>
              </w:rPr>
              <w:t>。未来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2"/>
              </w:rPr>
              <w:t>国投证券将致力于</w:t>
            </w: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建立公司级投研平台，形成统一资产配置建议</w:t>
            </w: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，并持续</w:t>
            </w: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提升产品管理及组合设计能力</w:t>
            </w: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2"/>
              </w:rPr>
              <w:t>通过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  <w:woUserID w:val="0"/>
              </w:rPr>
              <w:t>总部—分支机构—营业部—财富顾问层层传导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2"/>
              </w:rPr>
              <w:t>的方式，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  <w:woUserID w:val="0"/>
              </w:rPr>
              <w:t>综合提升分支机构财富顾问展业能力和服务水平。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6、请问公司未来是否有下修可转债转股价的打算？公司对于促进转债转股、优化现金流有何计划和措施？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目前公司可转债转股价格为9.55元/股。从今年5月开始，可转债是否下修的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决策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观察窗口期已从6个月缩短至3个月，公司董事会将综合考虑可转债剩余期限、市场周期，以及公司股价、政策动态、行业趋势等因素，基于下修可行性与必要性，平衡股东和转债投资者利益进行决策。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当前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国投转债剩余期限约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eastAsia="zh-CN"/>
                <w:woUserID w:val="1"/>
              </w:rPr>
              <w:t>19个月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，公司将通过加强市值管理提升公司二级市场表现、研究下修转股价格方案等多种方式，积极推动可转债转股。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75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附件清单</w:t>
            </w:r>
          </w:p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4224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75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4224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024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月11日</w:t>
            </w:r>
          </w:p>
        </w:tc>
      </w:tr>
    </w:tbl>
    <w:p>
      <w:pPr>
        <w:spacing w:line="360" w:lineRule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@等线">
    <w:altName w:val="MingLiU_HKSC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AB"/>
    <w:rsid w:val="00016597"/>
    <w:rsid w:val="00017D2A"/>
    <w:rsid w:val="00031B5F"/>
    <w:rsid w:val="00036E72"/>
    <w:rsid w:val="00054DF5"/>
    <w:rsid w:val="00055B99"/>
    <w:rsid w:val="00065D22"/>
    <w:rsid w:val="00066D38"/>
    <w:rsid w:val="00067B04"/>
    <w:rsid w:val="00072389"/>
    <w:rsid w:val="0007452C"/>
    <w:rsid w:val="00081ACD"/>
    <w:rsid w:val="00090633"/>
    <w:rsid w:val="00094954"/>
    <w:rsid w:val="000A18CB"/>
    <w:rsid w:val="000A1E72"/>
    <w:rsid w:val="000A2CF3"/>
    <w:rsid w:val="000A4FFA"/>
    <w:rsid w:val="000B0735"/>
    <w:rsid w:val="000C4B19"/>
    <w:rsid w:val="000E06F4"/>
    <w:rsid w:val="000E626B"/>
    <w:rsid w:val="000E7C5E"/>
    <w:rsid w:val="000F58B7"/>
    <w:rsid w:val="00100A9F"/>
    <w:rsid w:val="00103293"/>
    <w:rsid w:val="00104A51"/>
    <w:rsid w:val="00105B80"/>
    <w:rsid w:val="001077BA"/>
    <w:rsid w:val="00122229"/>
    <w:rsid w:val="0014139F"/>
    <w:rsid w:val="001424BB"/>
    <w:rsid w:val="001447AB"/>
    <w:rsid w:val="00150E2D"/>
    <w:rsid w:val="00157969"/>
    <w:rsid w:val="00160234"/>
    <w:rsid w:val="001625C9"/>
    <w:rsid w:val="00162B32"/>
    <w:rsid w:val="00165461"/>
    <w:rsid w:val="00165C57"/>
    <w:rsid w:val="00167A71"/>
    <w:rsid w:val="00170C9D"/>
    <w:rsid w:val="00177B62"/>
    <w:rsid w:val="00184D2F"/>
    <w:rsid w:val="001925A1"/>
    <w:rsid w:val="001930AC"/>
    <w:rsid w:val="00194183"/>
    <w:rsid w:val="001A4FC1"/>
    <w:rsid w:val="001B4730"/>
    <w:rsid w:val="001C4226"/>
    <w:rsid w:val="001C4DB4"/>
    <w:rsid w:val="001D0108"/>
    <w:rsid w:val="001D649E"/>
    <w:rsid w:val="001E6195"/>
    <w:rsid w:val="001F159A"/>
    <w:rsid w:val="001F3463"/>
    <w:rsid w:val="00202356"/>
    <w:rsid w:val="0021568F"/>
    <w:rsid w:val="00222A7E"/>
    <w:rsid w:val="00224737"/>
    <w:rsid w:val="002273F1"/>
    <w:rsid w:val="0023217F"/>
    <w:rsid w:val="00242BEA"/>
    <w:rsid w:val="00246564"/>
    <w:rsid w:val="00251F75"/>
    <w:rsid w:val="00252C94"/>
    <w:rsid w:val="0025645E"/>
    <w:rsid w:val="00266D1B"/>
    <w:rsid w:val="0027122E"/>
    <w:rsid w:val="00273C0D"/>
    <w:rsid w:val="00287367"/>
    <w:rsid w:val="002928F0"/>
    <w:rsid w:val="002A1E8A"/>
    <w:rsid w:val="002B202A"/>
    <w:rsid w:val="002C6050"/>
    <w:rsid w:val="002C6FB7"/>
    <w:rsid w:val="002D6A0C"/>
    <w:rsid w:val="002E6169"/>
    <w:rsid w:val="002E7451"/>
    <w:rsid w:val="002F1B04"/>
    <w:rsid w:val="002F2500"/>
    <w:rsid w:val="002F2A25"/>
    <w:rsid w:val="002F4391"/>
    <w:rsid w:val="00310372"/>
    <w:rsid w:val="003167A9"/>
    <w:rsid w:val="00326036"/>
    <w:rsid w:val="0033471F"/>
    <w:rsid w:val="00337B40"/>
    <w:rsid w:val="00342B5B"/>
    <w:rsid w:val="00342F27"/>
    <w:rsid w:val="00347DF1"/>
    <w:rsid w:val="00356983"/>
    <w:rsid w:val="00363BE5"/>
    <w:rsid w:val="00367108"/>
    <w:rsid w:val="00367FC0"/>
    <w:rsid w:val="00374C64"/>
    <w:rsid w:val="00377770"/>
    <w:rsid w:val="00382DBF"/>
    <w:rsid w:val="003837C1"/>
    <w:rsid w:val="003924B6"/>
    <w:rsid w:val="00392BBD"/>
    <w:rsid w:val="00393ECF"/>
    <w:rsid w:val="0039433B"/>
    <w:rsid w:val="003A01D7"/>
    <w:rsid w:val="003A39FA"/>
    <w:rsid w:val="003B58DC"/>
    <w:rsid w:val="003B7ADC"/>
    <w:rsid w:val="003C1C6F"/>
    <w:rsid w:val="003C6BFD"/>
    <w:rsid w:val="003D136A"/>
    <w:rsid w:val="003D3A6F"/>
    <w:rsid w:val="003D46FE"/>
    <w:rsid w:val="003D5B26"/>
    <w:rsid w:val="003D5E27"/>
    <w:rsid w:val="003D6DAC"/>
    <w:rsid w:val="003D7880"/>
    <w:rsid w:val="003D78A2"/>
    <w:rsid w:val="003E00A3"/>
    <w:rsid w:val="003E15D8"/>
    <w:rsid w:val="003E3302"/>
    <w:rsid w:val="003F64A2"/>
    <w:rsid w:val="003F79D7"/>
    <w:rsid w:val="00402353"/>
    <w:rsid w:val="0040511F"/>
    <w:rsid w:val="004053F8"/>
    <w:rsid w:val="00405BEB"/>
    <w:rsid w:val="00405FCF"/>
    <w:rsid w:val="00406FA1"/>
    <w:rsid w:val="004170E2"/>
    <w:rsid w:val="00421F79"/>
    <w:rsid w:val="00426363"/>
    <w:rsid w:val="00436329"/>
    <w:rsid w:val="004405D9"/>
    <w:rsid w:val="004444DD"/>
    <w:rsid w:val="004453B2"/>
    <w:rsid w:val="00445CB6"/>
    <w:rsid w:val="0044707C"/>
    <w:rsid w:val="00460D83"/>
    <w:rsid w:val="00461410"/>
    <w:rsid w:val="00475699"/>
    <w:rsid w:val="004801E1"/>
    <w:rsid w:val="0048211B"/>
    <w:rsid w:val="0048544C"/>
    <w:rsid w:val="00492E29"/>
    <w:rsid w:val="0049378F"/>
    <w:rsid w:val="00494C88"/>
    <w:rsid w:val="004970BD"/>
    <w:rsid w:val="004A59C8"/>
    <w:rsid w:val="004B3BCC"/>
    <w:rsid w:val="004B6264"/>
    <w:rsid w:val="004C1423"/>
    <w:rsid w:val="004E5276"/>
    <w:rsid w:val="00504AA1"/>
    <w:rsid w:val="00520903"/>
    <w:rsid w:val="00530C8C"/>
    <w:rsid w:val="0053576A"/>
    <w:rsid w:val="00544593"/>
    <w:rsid w:val="005609EB"/>
    <w:rsid w:val="00564111"/>
    <w:rsid w:val="005700AD"/>
    <w:rsid w:val="0057352D"/>
    <w:rsid w:val="00586B2E"/>
    <w:rsid w:val="00587F66"/>
    <w:rsid w:val="005928ED"/>
    <w:rsid w:val="00595C07"/>
    <w:rsid w:val="005969E3"/>
    <w:rsid w:val="00596A74"/>
    <w:rsid w:val="005A331E"/>
    <w:rsid w:val="005B0F88"/>
    <w:rsid w:val="005B16C0"/>
    <w:rsid w:val="005B425C"/>
    <w:rsid w:val="005B5322"/>
    <w:rsid w:val="005D3EA8"/>
    <w:rsid w:val="005E2E05"/>
    <w:rsid w:val="005F3E61"/>
    <w:rsid w:val="005F64C7"/>
    <w:rsid w:val="00613772"/>
    <w:rsid w:val="0061629F"/>
    <w:rsid w:val="00617469"/>
    <w:rsid w:val="00621B82"/>
    <w:rsid w:val="00624C1F"/>
    <w:rsid w:val="00627D23"/>
    <w:rsid w:val="00633D57"/>
    <w:rsid w:val="00634EB5"/>
    <w:rsid w:val="006370B7"/>
    <w:rsid w:val="00637767"/>
    <w:rsid w:val="00652B88"/>
    <w:rsid w:val="00653ABD"/>
    <w:rsid w:val="00654CD5"/>
    <w:rsid w:val="00661468"/>
    <w:rsid w:val="006725B8"/>
    <w:rsid w:val="006751AA"/>
    <w:rsid w:val="006838FF"/>
    <w:rsid w:val="006846C2"/>
    <w:rsid w:val="00685236"/>
    <w:rsid w:val="00686D09"/>
    <w:rsid w:val="006877C2"/>
    <w:rsid w:val="00692A9C"/>
    <w:rsid w:val="006A7688"/>
    <w:rsid w:val="006B082F"/>
    <w:rsid w:val="006B2491"/>
    <w:rsid w:val="006B4126"/>
    <w:rsid w:val="006B6D4C"/>
    <w:rsid w:val="006C6E2D"/>
    <w:rsid w:val="006E3278"/>
    <w:rsid w:val="006E60EE"/>
    <w:rsid w:val="006F1F73"/>
    <w:rsid w:val="006F2863"/>
    <w:rsid w:val="006F3A3E"/>
    <w:rsid w:val="006F3D66"/>
    <w:rsid w:val="00703C64"/>
    <w:rsid w:val="007058DF"/>
    <w:rsid w:val="00705BEA"/>
    <w:rsid w:val="00710137"/>
    <w:rsid w:val="00717506"/>
    <w:rsid w:val="007221A0"/>
    <w:rsid w:val="007255C8"/>
    <w:rsid w:val="00726C15"/>
    <w:rsid w:val="0072745A"/>
    <w:rsid w:val="007320A3"/>
    <w:rsid w:val="00737D01"/>
    <w:rsid w:val="007410E2"/>
    <w:rsid w:val="0074463C"/>
    <w:rsid w:val="0075695A"/>
    <w:rsid w:val="00757BB9"/>
    <w:rsid w:val="00761977"/>
    <w:rsid w:val="00761B52"/>
    <w:rsid w:val="00766209"/>
    <w:rsid w:val="00776AD1"/>
    <w:rsid w:val="00777293"/>
    <w:rsid w:val="00780620"/>
    <w:rsid w:val="007837CC"/>
    <w:rsid w:val="00787222"/>
    <w:rsid w:val="007A1ABB"/>
    <w:rsid w:val="007A459B"/>
    <w:rsid w:val="007B3B40"/>
    <w:rsid w:val="007B5BCC"/>
    <w:rsid w:val="007B623E"/>
    <w:rsid w:val="007C06EA"/>
    <w:rsid w:val="007D0E77"/>
    <w:rsid w:val="007D5F59"/>
    <w:rsid w:val="007E1505"/>
    <w:rsid w:val="007E456D"/>
    <w:rsid w:val="007E5E59"/>
    <w:rsid w:val="007E7579"/>
    <w:rsid w:val="007F0CC7"/>
    <w:rsid w:val="007F193C"/>
    <w:rsid w:val="008166BD"/>
    <w:rsid w:val="00820E75"/>
    <w:rsid w:val="00823029"/>
    <w:rsid w:val="00823532"/>
    <w:rsid w:val="008236D5"/>
    <w:rsid w:val="008247BA"/>
    <w:rsid w:val="008267DF"/>
    <w:rsid w:val="008312BC"/>
    <w:rsid w:val="0083247D"/>
    <w:rsid w:val="00835978"/>
    <w:rsid w:val="008377DC"/>
    <w:rsid w:val="0084452E"/>
    <w:rsid w:val="00845168"/>
    <w:rsid w:val="008468CE"/>
    <w:rsid w:val="0085206C"/>
    <w:rsid w:val="0085692D"/>
    <w:rsid w:val="00870471"/>
    <w:rsid w:val="0087237C"/>
    <w:rsid w:val="00893E53"/>
    <w:rsid w:val="00897C24"/>
    <w:rsid w:val="008A339A"/>
    <w:rsid w:val="008B3345"/>
    <w:rsid w:val="008B5441"/>
    <w:rsid w:val="008C67C4"/>
    <w:rsid w:val="008C684A"/>
    <w:rsid w:val="008D194C"/>
    <w:rsid w:val="008F3580"/>
    <w:rsid w:val="008F5BBF"/>
    <w:rsid w:val="00900D5D"/>
    <w:rsid w:val="0090324F"/>
    <w:rsid w:val="00905AE3"/>
    <w:rsid w:val="0090742F"/>
    <w:rsid w:val="0091072F"/>
    <w:rsid w:val="00910ACB"/>
    <w:rsid w:val="0092169C"/>
    <w:rsid w:val="009255EA"/>
    <w:rsid w:val="00925620"/>
    <w:rsid w:val="009262CB"/>
    <w:rsid w:val="009352CD"/>
    <w:rsid w:val="009407F0"/>
    <w:rsid w:val="009454D6"/>
    <w:rsid w:val="00945E36"/>
    <w:rsid w:val="00956736"/>
    <w:rsid w:val="00974C05"/>
    <w:rsid w:val="00986BE6"/>
    <w:rsid w:val="009A0FC2"/>
    <w:rsid w:val="009B04D6"/>
    <w:rsid w:val="009B1052"/>
    <w:rsid w:val="009B643B"/>
    <w:rsid w:val="009C1718"/>
    <w:rsid w:val="009D2CCE"/>
    <w:rsid w:val="009D2FB8"/>
    <w:rsid w:val="009D79B3"/>
    <w:rsid w:val="009E05A6"/>
    <w:rsid w:val="009E1D6A"/>
    <w:rsid w:val="009E3C5D"/>
    <w:rsid w:val="009E3FFD"/>
    <w:rsid w:val="009E6E3E"/>
    <w:rsid w:val="009E7A34"/>
    <w:rsid w:val="009F3F72"/>
    <w:rsid w:val="00A00253"/>
    <w:rsid w:val="00A007E1"/>
    <w:rsid w:val="00A242A5"/>
    <w:rsid w:val="00A327C7"/>
    <w:rsid w:val="00A35A02"/>
    <w:rsid w:val="00A41BE3"/>
    <w:rsid w:val="00A462BC"/>
    <w:rsid w:val="00A465C0"/>
    <w:rsid w:val="00A52D19"/>
    <w:rsid w:val="00A5351D"/>
    <w:rsid w:val="00A63211"/>
    <w:rsid w:val="00A65A7F"/>
    <w:rsid w:val="00A67ECB"/>
    <w:rsid w:val="00A74FB5"/>
    <w:rsid w:val="00A84F7F"/>
    <w:rsid w:val="00A851B3"/>
    <w:rsid w:val="00A934B3"/>
    <w:rsid w:val="00A94C17"/>
    <w:rsid w:val="00AA0F1B"/>
    <w:rsid w:val="00AB4449"/>
    <w:rsid w:val="00AB5285"/>
    <w:rsid w:val="00AC4121"/>
    <w:rsid w:val="00AC5FC8"/>
    <w:rsid w:val="00AC7D32"/>
    <w:rsid w:val="00AD209E"/>
    <w:rsid w:val="00AD237B"/>
    <w:rsid w:val="00AD307E"/>
    <w:rsid w:val="00AD52A7"/>
    <w:rsid w:val="00AD6515"/>
    <w:rsid w:val="00AE4B58"/>
    <w:rsid w:val="00AE5EAC"/>
    <w:rsid w:val="00AF6CB5"/>
    <w:rsid w:val="00B10E1E"/>
    <w:rsid w:val="00B14E39"/>
    <w:rsid w:val="00B21A61"/>
    <w:rsid w:val="00B24D25"/>
    <w:rsid w:val="00B33012"/>
    <w:rsid w:val="00B34B76"/>
    <w:rsid w:val="00B34E6B"/>
    <w:rsid w:val="00B4050C"/>
    <w:rsid w:val="00B43745"/>
    <w:rsid w:val="00B45E84"/>
    <w:rsid w:val="00B63770"/>
    <w:rsid w:val="00B66C1D"/>
    <w:rsid w:val="00B7149B"/>
    <w:rsid w:val="00B83AB9"/>
    <w:rsid w:val="00B864D0"/>
    <w:rsid w:val="00B9036B"/>
    <w:rsid w:val="00B93394"/>
    <w:rsid w:val="00B94D58"/>
    <w:rsid w:val="00B96C29"/>
    <w:rsid w:val="00BA3ECC"/>
    <w:rsid w:val="00BA7FF9"/>
    <w:rsid w:val="00BB1955"/>
    <w:rsid w:val="00BC218B"/>
    <w:rsid w:val="00BC36E4"/>
    <w:rsid w:val="00BD5ACC"/>
    <w:rsid w:val="00BE1020"/>
    <w:rsid w:val="00BE365E"/>
    <w:rsid w:val="00BE4903"/>
    <w:rsid w:val="00BE6FD0"/>
    <w:rsid w:val="00BF090C"/>
    <w:rsid w:val="00BF5861"/>
    <w:rsid w:val="00BF7770"/>
    <w:rsid w:val="00C064F9"/>
    <w:rsid w:val="00C15F04"/>
    <w:rsid w:val="00C1705D"/>
    <w:rsid w:val="00C178F3"/>
    <w:rsid w:val="00C17D61"/>
    <w:rsid w:val="00C333E2"/>
    <w:rsid w:val="00C3486C"/>
    <w:rsid w:val="00C36688"/>
    <w:rsid w:val="00C37415"/>
    <w:rsid w:val="00C41EE2"/>
    <w:rsid w:val="00C54EEF"/>
    <w:rsid w:val="00C60838"/>
    <w:rsid w:val="00C72C6B"/>
    <w:rsid w:val="00C75806"/>
    <w:rsid w:val="00C826EF"/>
    <w:rsid w:val="00C86DD3"/>
    <w:rsid w:val="00C86F83"/>
    <w:rsid w:val="00CB69FD"/>
    <w:rsid w:val="00CB7DD9"/>
    <w:rsid w:val="00CC4AD0"/>
    <w:rsid w:val="00CE1D20"/>
    <w:rsid w:val="00CF39D6"/>
    <w:rsid w:val="00CF3D6D"/>
    <w:rsid w:val="00D0187F"/>
    <w:rsid w:val="00D04417"/>
    <w:rsid w:val="00D17A85"/>
    <w:rsid w:val="00D21C3A"/>
    <w:rsid w:val="00D3215F"/>
    <w:rsid w:val="00D35144"/>
    <w:rsid w:val="00D36E11"/>
    <w:rsid w:val="00D45B22"/>
    <w:rsid w:val="00D6108D"/>
    <w:rsid w:val="00D64E8C"/>
    <w:rsid w:val="00D661A8"/>
    <w:rsid w:val="00D67A19"/>
    <w:rsid w:val="00D866A3"/>
    <w:rsid w:val="00D96257"/>
    <w:rsid w:val="00D96D86"/>
    <w:rsid w:val="00DA2150"/>
    <w:rsid w:val="00DB279C"/>
    <w:rsid w:val="00DC7B3A"/>
    <w:rsid w:val="00DC7D57"/>
    <w:rsid w:val="00DD5DA3"/>
    <w:rsid w:val="00DE01CF"/>
    <w:rsid w:val="00DF2497"/>
    <w:rsid w:val="00DF370C"/>
    <w:rsid w:val="00DF4315"/>
    <w:rsid w:val="00E13140"/>
    <w:rsid w:val="00E17B62"/>
    <w:rsid w:val="00E20F12"/>
    <w:rsid w:val="00E32998"/>
    <w:rsid w:val="00E330C2"/>
    <w:rsid w:val="00E40C75"/>
    <w:rsid w:val="00E453E5"/>
    <w:rsid w:val="00E453FB"/>
    <w:rsid w:val="00E50E89"/>
    <w:rsid w:val="00E54D1C"/>
    <w:rsid w:val="00E55CCA"/>
    <w:rsid w:val="00E6197D"/>
    <w:rsid w:val="00E62A88"/>
    <w:rsid w:val="00E65EF1"/>
    <w:rsid w:val="00E702CC"/>
    <w:rsid w:val="00E707D8"/>
    <w:rsid w:val="00E72181"/>
    <w:rsid w:val="00E763B2"/>
    <w:rsid w:val="00E77B73"/>
    <w:rsid w:val="00E83D52"/>
    <w:rsid w:val="00E84A5F"/>
    <w:rsid w:val="00E906AA"/>
    <w:rsid w:val="00E91153"/>
    <w:rsid w:val="00E9512F"/>
    <w:rsid w:val="00EA0F0B"/>
    <w:rsid w:val="00EA2839"/>
    <w:rsid w:val="00EB4965"/>
    <w:rsid w:val="00EB4D2B"/>
    <w:rsid w:val="00EB5B38"/>
    <w:rsid w:val="00EC260B"/>
    <w:rsid w:val="00EC6583"/>
    <w:rsid w:val="00EE1C7E"/>
    <w:rsid w:val="00EE504F"/>
    <w:rsid w:val="00EF005E"/>
    <w:rsid w:val="00EF275B"/>
    <w:rsid w:val="00F04092"/>
    <w:rsid w:val="00F047D0"/>
    <w:rsid w:val="00F1428D"/>
    <w:rsid w:val="00F162B1"/>
    <w:rsid w:val="00F205A1"/>
    <w:rsid w:val="00F3019A"/>
    <w:rsid w:val="00F326F0"/>
    <w:rsid w:val="00F3602D"/>
    <w:rsid w:val="00F40187"/>
    <w:rsid w:val="00F44724"/>
    <w:rsid w:val="00F44E21"/>
    <w:rsid w:val="00F456A0"/>
    <w:rsid w:val="00F50D26"/>
    <w:rsid w:val="00F511B7"/>
    <w:rsid w:val="00F66EBA"/>
    <w:rsid w:val="00F710CF"/>
    <w:rsid w:val="00F7214D"/>
    <w:rsid w:val="00F7744C"/>
    <w:rsid w:val="00F961D2"/>
    <w:rsid w:val="00FA25B1"/>
    <w:rsid w:val="00FA2950"/>
    <w:rsid w:val="00FA66C7"/>
    <w:rsid w:val="00FA6E20"/>
    <w:rsid w:val="00FA72BC"/>
    <w:rsid w:val="00FB2469"/>
    <w:rsid w:val="00FB2C97"/>
    <w:rsid w:val="00FC0F4C"/>
    <w:rsid w:val="00FC2400"/>
    <w:rsid w:val="00FC696D"/>
    <w:rsid w:val="00FC6D1A"/>
    <w:rsid w:val="00FE3D31"/>
    <w:rsid w:val="00FF6B07"/>
    <w:rsid w:val="17BA8EB4"/>
    <w:rsid w:val="197F060A"/>
    <w:rsid w:val="1F5F7172"/>
    <w:rsid w:val="25DAFD08"/>
    <w:rsid w:val="271E3018"/>
    <w:rsid w:val="29FCD214"/>
    <w:rsid w:val="2EB97679"/>
    <w:rsid w:val="2F9F2ADB"/>
    <w:rsid w:val="2FDF39B3"/>
    <w:rsid w:val="35ADDC21"/>
    <w:rsid w:val="35F3CF05"/>
    <w:rsid w:val="37BF1532"/>
    <w:rsid w:val="37E9BC1B"/>
    <w:rsid w:val="37FF7930"/>
    <w:rsid w:val="39AE1D92"/>
    <w:rsid w:val="3BFBB15D"/>
    <w:rsid w:val="3DAF4F22"/>
    <w:rsid w:val="3DE19BE7"/>
    <w:rsid w:val="3DFDCAD0"/>
    <w:rsid w:val="3DFE1A71"/>
    <w:rsid w:val="3EB50423"/>
    <w:rsid w:val="3EFF5855"/>
    <w:rsid w:val="3F799F0B"/>
    <w:rsid w:val="3FF66F78"/>
    <w:rsid w:val="4BEEAD97"/>
    <w:rsid w:val="4BEF9EE6"/>
    <w:rsid w:val="4DAFF45A"/>
    <w:rsid w:val="4FAF511F"/>
    <w:rsid w:val="4FBC16A0"/>
    <w:rsid w:val="4FF27A41"/>
    <w:rsid w:val="53FAA15A"/>
    <w:rsid w:val="59DDFC36"/>
    <w:rsid w:val="5BBF6E05"/>
    <w:rsid w:val="5BF322C4"/>
    <w:rsid w:val="5C3DF2DD"/>
    <w:rsid w:val="5EBBD29B"/>
    <w:rsid w:val="5EDF9B4B"/>
    <w:rsid w:val="5F5E4D67"/>
    <w:rsid w:val="5FBFFCE5"/>
    <w:rsid w:val="5FEF433D"/>
    <w:rsid w:val="66BCC38C"/>
    <w:rsid w:val="673E3B14"/>
    <w:rsid w:val="67FFBA07"/>
    <w:rsid w:val="6B7EE647"/>
    <w:rsid w:val="6BB5E47D"/>
    <w:rsid w:val="6BFFE568"/>
    <w:rsid w:val="6D67FECE"/>
    <w:rsid w:val="6D6F3916"/>
    <w:rsid w:val="6FC89E6A"/>
    <w:rsid w:val="6FF78C7E"/>
    <w:rsid w:val="6FF79CE2"/>
    <w:rsid w:val="6FFD276C"/>
    <w:rsid w:val="6FFFAD30"/>
    <w:rsid w:val="747EE0AF"/>
    <w:rsid w:val="757995F5"/>
    <w:rsid w:val="76DEDA9D"/>
    <w:rsid w:val="77F62121"/>
    <w:rsid w:val="77FF3D96"/>
    <w:rsid w:val="7A7F0D2C"/>
    <w:rsid w:val="7B7E2CEE"/>
    <w:rsid w:val="7BED8786"/>
    <w:rsid w:val="7CDF426A"/>
    <w:rsid w:val="7CF377C1"/>
    <w:rsid w:val="7D5D1803"/>
    <w:rsid w:val="7D6914A5"/>
    <w:rsid w:val="7E59FD60"/>
    <w:rsid w:val="7EFD2671"/>
    <w:rsid w:val="7F1EEF94"/>
    <w:rsid w:val="7F5E86DC"/>
    <w:rsid w:val="7F6FB23F"/>
    <w:rsid w:val="7FB71FC8"/>
    <w:rsid w:val="7FBDDB16"/>
    <w:rsid w:val="7FBFB3EF"/>
    <w:rsid w:val="7FEE558B"/>
    <w:rsid w:val="7FFD4205"/>
    <w:rsid w:val="7FFF7B26"/>
    <w:rsid w:val="7FFFD647"/>
    <w:rsid w:val="8D314B27"/>
    <w:rsid w:val="9AFB4ED3"/>
    <w:rsid w:val="9C7D5715"/>
    <w:rsid w:val="9FFE4244"/>
    <w:rsid w:val="9FFFC891"/>
    <w:rsid w:val="A7987A6A"/>
    <w:rsid w:val="AAD7E24D"/>
    <w:rsid w:val="AFDDE264"/>
    <w:rsid w:val="AFF3F438"/>
    <w:rsid w:val="B3AD4DCF"/>
    <w:rsid w:val="B3DC3E8A"/>
    <w:rsid w:val="B6FE1B5A"/>
    <w:rsid w:val="B7BA8B02"/>
    <w:rsid w:val="BC5E90AB"/>
    <w:rsid w:val="BDBB1BD4"/>
    <w:rsid w:val="BDD7812E"/>
    <w:rsid w:val="BF3FBC44"/>
    <w:rsid w:val="BF973903"/>
    <w:rsid w:val="BFB7148B"/>
    <w:rsid w:val="BFBE5CA4"/>
    <w:rsid w:val="BFBFB160"/>
    <w:rsid w:val="BFFDB8F9"/>
    <w:rsid w:val="C71CE44D"/>
    <w:rsid w:val="C9DE94D5"/>
    <w:rsid w:val="CEDF54D3"/>
    <w:rsid w:val="CF7B86C3"/>
    <w:rsid w:val="D07F82D0"/>
    <w:rsid w:val="D6FECD3B"/>
    <w:rsid w:val="DD58B573"/>
    <w:rsid w:val="DDFF0837"/>
    <w:rsid w:val="DE4D828F"/>
    <w:rsid w:val="DEDE44C0"/>
    <w:rsid w:val="DF374D42"/>
    <w:rsid w:val="DF5B6641"/>
    <w:rsid w:val="DFBC1368"/>
    <w:rsid w:val="DFD61D6F"/>
    <w:rsid w:val="DFEDF476"/>
    <w:rsid w:val="DFEF77FC"/>
    <w:rsid w:val="DFFF6DF0"/>
    <w:rsid w:val="E76E9C74"/>
    <w:rsid w:val="E9EE253A"/>
    <w:rsid w:val="EBF33341"/>
    <w:rsid w:val="EBFF2A53"/>
    <w:rsid w:val="EC7F9628"/>
    <w:rsid w:val="EEBFC97E"/>
    <w:rsid w:val="EF65F8C7"/>
    <w:rsid w:val="F0FB8A34"/>
    <w:rsid w:val="F1DBC6DA"/>
    <w:rsid w:val="F1FF3FAC"/>
    <w:rsid w:val="F4DE48C3"/>
    <w:rsid w:val="F4DF19B7"/>
    <w:rsid w:val="F5EB8FB5"/>
    <w:rsid w:val="F79117C6"/>
    <w:rsid w:val="F7AF4E0B"/>
    <w:rsid w:val="F7F865D8"/>
    <w:rsid w:val="F9D75B86"/>
    <w:rsid w:val="F9DF066B"/>
    <w:rsid w:val="FAAE9385"/>
    <w:rsid w:val="FAFFAA81"/>
    <w:rsid w:val="FBB5E16E"/>
    <w:rsid w:val="FBEE500A"/>
    <w:rsid w:val="FD745992"/>
    <w:rsid w:val="FD75B22E"/>
    <w:rsid w:val="FDBB3DC7"/>
    <w:rsid w:val="FDF72D5C"/>
    <w:rsid w:val="FF16D975"/>
    <w:rsid w:val="FF7CB7BE"/>
    <w:rsid w:val="FF7F0DD6"/>
    <w:rsid w:val="FF7FC899"/>
    <w:rsid w:val="FF7FD58F"/>
    <w:rsid w:val="FF978A96"/>
    <w:rsid w:val="FFBF8EDC"/>
    <w:rsid w:val="FFCFE719"/>
    <w:rsid w:val="FFCFFB2E"/>
    <w:rsid w:val="FFE5718A"/>
    <w:rsid w:val="FFF2F469"/>
    <w:rsid w:val="FFF6E2C5"/>
    <w:rsid w:val="FFF7BD68"/>
    <w:rsid w:val="FFFA5BB4"/>
    <w:rsid w:val="FF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 w:line="600" w:lineRule="exact"/>
      <w:ind w:left="0" w:right="0" w:firstLine="200" w:firstLineChars="200"/>
      <w:jc w:val="both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ind w:left="2028"/>
    </w:pPr>
    <w:rPr>
      <w:rFonts w:ascii="宋体" w:hAnsi="宋体" w:eastAsia="宋体"/>
      <w:sz w:val="24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14"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basedOn w:val="9"/>
    <w:link w:val="2"/>
    <w:uiPriority w:val="1"/>
    <w:rPr>
      <w:rFonts w:ascii="宋体" w:hAnsi="宋体" w:eastAsia="宋体"/>
      <w:kern w:val="0"/>
      <w:sz w:val="24"/>
      <w:szCs w:val="24"/>
      <w:lang w:eastAsia="en-US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字符"/>
    <w:basedOn w:val="9"/>
    <w:link w:val="3"/>
    <w:semiHidden/>
    <w:uiPriority w:val="99"/>
    <w:rPr>
      <w:rFonts w:ascii="Microsoft YaHei UI" w:eastAsia="Microsoft YaHei UI"/>
      <w:kern w:val="0"/>
      <w:sz w:val="18"/>
      <w:szCs w:val="18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lang w:eastAsia="zh-CN"/>
    </w:rPr>
  </w:style>
  <w:style w:type="character" w:customStyle="1" w:styleId="14">
    <w:name w:val="页眉 字符"/>
    <w:basedOn w:val="9"/>
    <w:link w:val="5"/>
    <w:uiPriority w:val="99"/>
    <w:rPr>
      <w:kern w:val="0"/>
      <w:sz w:val="22"/>
      <w:lang w:eastAsia="en-US"/>
    </w:rPr>
  </w:style>
  <w:style w:type="character" w:customStyle="1" w:styleId="15">
    <w:name w:val="页脚 字符"/>
    <w:basedOn w:val="9"/>
    <w:link w:val="4"/>
    <w:uiPriority w:val="99"/>
    <w:rPr>
      <w:kern w:val="0"/>
      <w:sz w:val="22"/>
      <w:lang w:eastAsia="en-US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421</Words>
  <Characters>2404</Characters>
  <Lines>20</Lines>
  <Paragraphs>5</Paragraphs>
  <TotalTime>0</TotalTime>
  <ScaleCrop>false</ScaleCrop>
  <LinksUpToDate>false</LinksUpToDate>
  <CharactersWithSpaces>2820</CharactersWithSpaces>
  <Application>WPS Office WWO_feishu_20230531100529-62b4f7f279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2024-11-09T01:25:00Z</dcterms:created>
  <dc:creator>鑫海 周</dc:creator>
  <cp:lastModifiedBy>Khloe Wang</cp:lastModifiedBy>
  <dcterms:modified xsi:type="dcterms:W3CDTF">2024-11-11T15:26:53Z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