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B734D" w14:textId="2FDAB99B" w:rsidR="00611727" w:rsidRPr="0056345E" w:rsidRDefault="005A3C00">
      <w:pPr>
        <w:pStyle w:val="1"/>
        <w:rPr>
          <w:rFonts w:ascii="宋体" w:eastAsia="宋体" w:hAnsi="宋体" w:cs="宋体"/>
          <w:b/>
          <w:sz w:val="24"/>
          <w:szCs w:val="24"/>
          <w:lang w:val="en-US"/>
        </w:rPr>
      </w:pPr>
      <w:r w:rsidRPr="0056345E">
        <w:rPr>
          <w:rFonts w:ascii="宋体" w:eastAsia="宋体" w:hAnsi="宋体" w:cs="宋体" w:hint="eastAsia"/>
          <w:b/>
          <w:sz w:val="24"/>
          <w:szCs w:val="24"/>
          <w:lang w:val="en-US"/>
        </w:rPr>
        <w:t>证券代码：</w:t>
      </w:r>
      <w:r w:rsidRPr="0056345E">
        <w:rPr>
          <w:rFonts w:ascii="宋体" w:eastAsia="宋体" w:hAnsi="宋体" w:cs="宋体"/>
          <w:b/>
          <w:sz w:val="24"/>
          <w:szCs w:val="24"/>
          <w:lang w:val="en-US"/>
        </w:rPr>
        <w:t xml:space="preserve">600927                                </w:t>
      </w:r>
      <w:r w:rsidR="001C6EFE" w:rsidRPr="0056345E">
        <w:rPr>
          <w:rFonts w:ascii="宋体" w:eastAsia="宋体" w:hAnsi="宋体" w:cs="宋体" w:hint="eastAsia"/>
          <w:b/>
          <w:sz w:val="24"/>
          <w:szCs w:val="24"/>
          <w:lang w:val="en-US"/>
        </w:rPr>
        <w:t xml:space="preserve">  </w:t>
      </w:r>
      <w:r w:rsidRPr="0056345E">
        <w:rPr>
          <w:rFonts w:ascii="宋体" w:eastAsia="宋体" w:hAnsi="宋体" w:cs="宋体" w:hint="eastAsia"/>
          <w:b/>
          <w:sz w:val="24"/>
          <w:szCs w:val="24"/>
          <w:lang w:val="en-US"/>
        </w:rPr>
        <w:t>证券简称：永安期货</w:t>
      </w:r>
    </w:p>
    <w:p w14:paraId="36CD7012" w14:textId="77777777" w:rsidR="0056345E" w:rsidRDefault="0056345E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12210230" w14:textId="13A1873A" w:rsidR="00611727" w:rsidRPr="0056345E" w:rsidRDefault="005A3C00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56345E">
        <w:rPr>
          <w:rFonts w:ascii="宋体" w:eastAsia="宋体" w:hAnsi="宋体" w:cs="宋体" w:hint="eastAsia"/>
          <w:b/>
          <w:bCs/>
          <w:sz w:val="32"/>
          <w:szCs w:val="32"/>
        </w:rPr>
        <w:t>永安期货股份有限公司</w:t>
      </w:r>
    </w:p>
    <w:p w14:paraId="75EDEBBB" w14:textId="77777777" w:rsidR="00611727" w:rsidRPr="0056345E" w:rsidRDefault="005A3C00">
      <w:pPr>
        <w:spacing w:line="360" w:lineRule="auto"/>
        <w:jc w:val="center"/>
        <w:rPr>
          <w:rFonts w:ascii="宋体" w:eastAsia="宋体" w:hAnsi="宋体" w:cs="宋体"/>
          <w:sz w:val="32"/>
          <w:szCs w:val="32"/>
        </w:rPr>
      </w:pPr>
      <w:r w:rsidRPr="0056345E">
        <w:rPr>
          <w:rFonts w:ascii="宋体" w:eastAsia="宋体" w:hAnsi="宋体" w:cs="宋体" w:hint="eastAsia"/>
          <w:b/>
          <w:bCs/>
          <w:sz w:val="32"/>
          <w:szCs w:val="32"/>
        </w:rPr>
        <w:t>投资者关系活动记录表</w:t>
      </w:r>
    </w:p>
    <w:p w14:paraId="764BB0D7" w14:textId="6AEDA47B" w:rsidR="00611727" w:rsidRPr="0056345E" w:rsidRDefault="002934B1" w:rsidP="0056345E">
      <w:pPr>
        <w:spacing w:before="51" w:after="32"/>
        <w:ind w:right="619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编号：</w:t>
      </w:r>
      <w:r w:rsidR="005A3C00" w:rsidRPr="0056345E">
        <w:rPr>
          <w:rFonts w:ascii="宋体" w:eastAsia="宋体" w:hAnsi="宋体" w:cs="宋体" w:hint="eastAsia"/>
          <w:b/>
          <w:sz w:val="24"/>
          <w:szCs w:val="24"/>
          <w:lang w:val="en-US"/>
        </w:rPr>
        <w:t>2024</w:t>
      </w:r>
      <w:r w:rsidR="005A3C00" w:rsidRPr="0056345E">
        <w:rPr>
          <w:rFonts w:ascii="宋体" w:eastAsia="宋体" w:hAnsi="宋体" w:cs="宋体" w:hint="eastAsia"/>
          <w:b/>
          <w:sz w:val="24"/>
          <w:szCs w:val="24"/>
        </w:rPr>
        <w:t>-</w:t>
      </w:r>
      <w:r w:rsidR="00786AF6">
        <w:rPr>
          <w:rFonts w:ascii="宋体" w:eastAsia="宋体" w:hAnsi="宋体" w:cs="宋体"/>
          <w:b/>
          <w:sz w:val="24"/>
          <w:szCs w:val="24"/>
        </w:rPr>
        <w:t>004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5553"/>
      </w:tblGrid>
      <w:tr w:rsidR="00611727" w:rsidRPr="00521C1F" w14:paraId="2C1F0EED" w14:textId="77777777" w:rsidTr="00086F3B">
        <w:trPr>
          <w:trHeight w:val="2801"/>
          <w:jc w:val="center"/>
        </w:trPr>
        <w:tc>
          <w:tcPr>
            <w:tcW w:w="2972" w:type="dxa"/>
          </w:tcPr>
          <w:p w14:paraId="668D1267" w14:textId="77777777" w:rsidR="00611727" w:rsidRPr="00521C1F" w:rsidRDefault="00611727">
            <w:pPr>
              <w:pStyle w:val="TableParagraph"/>
              <w:spacing w:before="7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3F01FDF3" w14:textId="77777777" w:rsidR="00611727" w:rsidRPr="00521C1F" w:rsidRDefault="005A3C0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553" w:type="dxa"/>
          </w:tcPr>
          <w:p w14:paraId="73AA0864" w14:textId="77777777" w:rsidR="00611727" w:rsidRPr="00521C1F" w:rsidRDefault="00611727">
            <w:pPr>
              <w:pStyle w:val="TableParagraph"/>
              <w:spacing w:before="7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14:paraId="1AA8FCE3" w14:textId="77777777" w:rsidR="00611727" w:rsidRPr="00521C1F" w:rsidRDefault="00AD25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3C00" w:rsidRPr="00521C1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特</w:t>
            </w:r>
            <w:r w:rsidR="005A3C00" w:rsidRPr="00521C1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定</w:t>
            </w:r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</w:t>
            </w:r>
            <w:r w:rsidR="005A3C00" w:rsidRPr="00521C1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象</w:t>
            </w:r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调研</w:t>
            </w:r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3C00" w:rsidRPr="00521C1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</w:t>
            </w:r>
            <w:r w:rsidR="005A3C00" w:rsidRPr="00521C1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析</w:t>
            </w:r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师</w:t>
            </w:r>
            <w:r w:rsidR="005A3C00" w:rsidRPr="00521C1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会</w:t>
            </w:r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议</w:t>
            </w:r>
          </w:p>
          <w:p w14:paraId="1E537EC2" w14:textId="77777777" w:rsidR="00611727" w:rsidRPr="00521C1F" w:rsidRDefault="00611727">
            <w:pPr>
              <w:pStyle w:val="TableParagraph"/>
              <w:spacing w:before="1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14:paraId="2A6503DB" w14:textId="62D3B45F" w:rsidR="00611727" w:rsidRPr="00521C1F" w:rsidRDefault="00AD25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3C00" w:rsidRPr="00521C1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媒</w:t>
            </w:r>
            <w:r w:rsidR="005A3C00" w:rsidRPr="00521C1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体</w:t>
            </w:r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采访</w:t>
            </w:r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70213" w:rsidRPr="00521C1F">
                  <w:rPr>
                    <w:rFonts w:asciiTheme="minorEastAsia" w:eastAsiaTheme="minorEastAsia" w:hAnsiTheme="minorEastAsia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业</w:t>
            </w:r>
            <w:r w:rsidR="005A3C00" w:rsidRPr="00521C1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绩</w:t>
            </w:r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说</w:t>
            </w:r>
            <w:r w:rsidR="005A3C00" w:rsidRPr="00521C1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明</w:t>
            </w:r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</w:t>
            </w:r>
          </w:p>
          <w:p w14:paraId="06D88738" w14:textId="77777777" w:rsidR="00611727" w:rsidRPr="00521C1F" w:rsidRDefault="00611727">
            <w:pPr>
              <w:pStyle w:val="TableParagraph"/>
              <w:spacing w:before="8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14:paraId="37EF9704" w14:textId="77777777" w:rsidR="00611727" w:rsidRPr="00521C1F" w:rsidRDefault="00AD25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3C00" w:rsidRPr="00521C1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新</w:t>
            </w:r>
            <w:r w:rsidR="005A3C00" w:rsidRPr="00521C1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闻</w:t>
            </w:r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发</w:t>
            </w:r>
            <w:r w:rsidR="005A3C00" w:rsidRPr="00521C1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布</w:t>
            </w:r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</w:t>
            </w:r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3C00" w:rsidRPr="00521C1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路</w:t>
            </w:r>
            <w:r w:rsidR="005A3C00" w:rsidRPr="00521C1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演</w:t>
            </w:r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</w:t>
            </w:r>
          </w:p>
          <w:p w14:paraId="6F13340F" w14:textId="77777777" w:rsidR="00611727" w:rsidRPr="00521C1F" w:rsidRDefault="00611727">
            <w:pPr>
              <w:pStyle w:val="TableParagraph"/>
              <w:spacing w:before="8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14:paraId="13EFB87F" w14:textId="77777777" w:rsidR="00611727" w:rsidRPr="00521C1F" w:rsidRDefault="00AD2500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3C00" w:rsidRPr="00521C1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现场参观</w:t>
            </w:r>
          </w:p>
          <w:p w14:paraId="76EEC5D3" w14:textId="77777777" w:rsidR="00611727" w:rsidRPr="00521C1F" w:rsidRDefault="00611727">
            <w:pPr>
              <w:pStyle w:val="TableParagraph"/>
              <w:spacing w:before="1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14:paraId="5D71EE22" w14:textId="77777777" w:rsidR="00611727" w:rsidRPr="00521C1F" w:rsidRDefault="00AD2500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3C00" w:rsidRPr="00521C1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其他（</w:t>
            </w:r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  <w:u w:val="single"/>
              </w:rPr>
              <w:t>请文字说明</w:t>
            </w:r>
            <w:bookmarkStart w:id="0" w:name="_GoBack"/>
            <w:bookmarkEnd w:id="0"/>
            <w:r w:rsidR="005A3C00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  <w:u w:val="single"/>
              </w:rPr>
              <w:t>其他活动内容）</w:t>
            </w:r>
          </w:p>
        </w:tc>
      </w:tr>
      <w:tr w:rsidR="00611727" w:rsidRPr="00521C1F" w14:paraId="1DDE2BEC" w14:textId="77777777" w:rsidTr="00086F3B">
        <w:trPr>
          <w:trHeight w:val="1120"/>
          <w:jc w:val="center"/>
        </w:trPr>
        <w:tc>
          <w:tcPr>
            <w:tcW w:w="2972" w:type="dxa"/>
            <w:vAlign w:val="center"/>
          </w:tcPr>
          <w:p w14:paraId="2D1BDF40" w14:textId="77777777" w:rsidR="00611727" w:rsidRPr="00521C1F" w:rsidRDefault="005A3C00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5553" w:type="dxa"/>
            <w:vAlign w:val="center"/>
          </w:tcPr>
          <w:p w14:paraId="4D30C3A3" w14:textId="77777777" w:rsidR="00611727" w:rsidRPr="00521C1F" w:rsidRDefault="005A3C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4"/>
                <w:szCs w:val="24"/>
                <w:lang w:val="en-US"/>
              </w:rPr>
            </w:pPr>
            <w:r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线上参与公司2024年第三季度业绩说明会的全体投资者</w:t>
            </w:r>
          </w:p>
        </w:tc>
      </w:tr>
      <w:tr w:rsidR="00611727" w:rsidRPr="00521C1F" w14:paraId="27BA754B" w14:textId="77777777" w:rsidTr="00086F3B">
        <w:trPr>
          <w:trHeight w:val="558"/>
          <w:jc w:val="center"/>
        </w:trPr>
        <w:tc>
          <w:tcPr>
            <w:tcW w:w="2972" w:type="dxa"/>
            <w:vAlign w:val="center"/>
          </w:tcPr>
          <w:p w14:paraId="7E643B4B" w14:textId="77777777" w:rsidR="00611727" w:rsidRPr="00521C1F" w:rsidRDefault="005A3C00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553" w:type="dxa"/>
            <w:vAlign w:val="center"/>
          </w:tcPr>
          <w:p w14:paraId="05ED11C3" w14:textId="77777777" w:rsidR="00611727" w:rsidRPr="00521C1F" w:rsidRDefault="005A3C00">
            <w:pPr>
              <w:spacing w:before="100" w:beforeAutospacing="1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2024年11月12日 10:00-11:00</w:t>
            </w:r>
          </w:p>
        </w:tc>
      </w:tr>
      <w:tr w:rsidR="00611727" w:rsidRPr="00521C1F" w14:paraId="3C0A9209" w14:textId="77777777" w:rsidTr="00086F3B">
        <w:trPr>
          <w:trHeight w:val="561"/>
          <w:jc w:val="center"/>
        </w:trPr>
        <w:tc>
          <w:tcPr>
            <w:tcW w:w="2972" w:type="dxa"/>
            <w:vAlign w:val="center"/>
          </w:tcPr>
          <w:p w14:paraId="1841CF9F" w14:textId="77777777" w:rsidR="00611727" w:rsidRPr="00521C1F" w:rsidRDefault="005A3C00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5553" w:type="dxa"/>
            <w:vAlign w:val="center"/>
          </w:tcPr>
          <w:p w14:paraId="631CEE57" w14:textId="77777777" w:rsidR="00611727" w:rsidRPr="00521C1F" w:rsidRDefault="005A3C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>价值在线（https://www.ir-online.cn/）网络互动</w:t>
            </w:r>
          </w:p>
        </w:tc>
      </w:tr>
      <w:tr w:rsidR="00611727" w:rsidRPr="00521C1F" w14:paraId="5487B3D8" w14:textId="77777777" w:rsidTr="00086F3B">
        <w:trPr>
          <w:trHeight w:val="558"/>
          <w:jc w:val="center"/>
        </w:trPr>
        <w:tc>
          <w:tcPr>
            <w:tcW w:w="2972" w:type="dxa"/>
            <w:vAlign w:val="center"/>
          </w:tcPr>
          <w:p w14:paraId="519837BA" w14:textId="77777777" w:rsidR="00611727" w:rsidRPr="00521C1F" w:rsidRDefault="005A3C0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553" w:type="dxa"/>
            <w:vAlign w:val="center"/>
          </w:tcPr>
          <w:p w14:paraId="1BE512B6" w14:textId="77777777" w:rsidR="00611727" w:rsidRPr="00521C1F" w:rsidRDefault="005A3C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>董事长、总经理 黄志明</w:t>
            </w: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  <w:t>副总经理、董事会秘书兼财务总监 黄峥嵘</w:t>
            </w: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  <w:t>独立董事 李小文</w:t>
            </w:r>
          </w:p>
        </w:tc>
      </w:tr>
      <w:tr w:rsidR="00611727" w:rsidRPr="00521C1F" w14:paraId="3424B7EF" w14:textId="77777777" w:rsidTr="00086F3B">
        <w:trPr>
          <w:trHeight w:val="2800"/>
          <w:jc w:val="center"/>
        </w:trPr>
        <w:tc>
          <w:tcPr>
            <w:tcW w:w="2972" w:type="dxa"/>
          </w:tcPr>
          <w:p w14:paraId="1BB2AC51" w14:textId="77777777" w:rsidR="00611727" w:rsidRPr="00521C1F" w:rsidRDefault="00611727">
            <w:pPr>
              <w:pStyle w:val="TableParagrap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3A10D836" w14:textId="77777777" w:rsidR="00611727" w:rsidRPr="00521C1F" w:rsidRDefault="00611727">
            <w:pPr>
              <w:pStyle w:val="TableParagrap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1D0439BE" w14:textId="77777777" w:rsidR="00611727" w:rsidRPr="00521C1F" w:rsidRDefault="00611727">
            <w:pPr>
              <w:pStyle w:val="TableParagraph"/>
              <w:spacing w:before="5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071F3952" w14:textId="77777777" w:rsidR="00611727" w:rsidRPr="00521C1F" w:rsidRDefault="005A3C00">
            <w:pPr>
              <w:pStyle w:val="TableParagraph"/>
              <w:spacing w:before="1" w:line="499" w:lineRule="auto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5553" w:type="dxa"/>
          </w:tcPr>
          <w:p w14:paraId="195E4DFE" w14:textId="5E425207" w:rsidR="0073406E" w:rsidRPr="00521C1F" w:rsidRDefault="004874CA" w:rsidP="00D50609">
            <w:pPr>
              <w:pStyle w:val="TableParagraph"/>
              <w:spacing w:line="360" w:lineRule="auto"/>
              <w:ind w:firstLine="42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1</w:t>
            </w:r>
            <w:r w:rsidR="005A3C00"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.近日，国务院办公厅转发了中国证监会等部门《关于加强监管防范风险促进期货市场高质量发展的意见》，公司如何理解该《意见》对期货行业的影响？</w:t>
            </w:r>
            <w:r w:rsidR="005A3C00"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 w:rsidR="005A3C00"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答:此份《意见》是中国期货市场发展历史上具有里程碑意义的文件，无疑为期货行业带来了新的发展机遇和挑战，是落实党的二十届三中全会精神的重要举措。其围绕一条主线、三个发展阶段，从八个方面出台十七条具体措施，为中国期货市场发展擘画路线</w:t>
            </w:r>
            <w:r w:rsidR="005A3C00"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 xml:space="preserve">图，是指导未来中国期货市场发展的纲领性文件。 </w:t>
            </w:r>
          </w:p>
          <w:p w14:paraId="255180DD" w14:textId="46FA319F" w:rsidR="004874CA" w:rsidRPr="00521C1F" w:rsidRDefault="005A3C00" w:rsidP="00D50609">
            <w:pPr>
              <w:pStyle w:val="TableParagraph"/>
              <w:spacing w:line="360" w:lineRule="auto"/>
              <w:ind w:firstLine="42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>总体来看，高质量发展是目标，严监管是防控风险的基本手段和期市发展的保证，防控风险是高质量发展的前提和基础。这一意见将会促进期货市场进一步规范化、透明化和国际化，提高市场的整体竞争力，为投资者提供更加多元化的投资选择和风险管理工具，同时也体现了扶优限劣的监管导向。</w:t>
            </w: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 </w:t>
            </w:r>
            <w:r w:rsidR="004874CA" w:rsidRPr="00521C1F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2</w:t>
            </w:r>
            <w:r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.公司目前的经营情况如何？</w:t>
            </w:r>
            <w:r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答:公司今年前三季度累计实现营业收入186.73亿元，归母净利润4.19亿元；第三季度实现营业收入65.63亿元，归母净利润1.11亿元。公司始终坚持多元化发展，目前已形成了集期货经纪业务、基金销售业务、资产管理业务、风险管理业务及境外金融服务业务于一体的业务生态，通过多业务板块协同发展、相互赋能，更好应对单项业务的市场波动，为公司长期稳健高质量发展打下坚实基础。</w:t>
            </w:r>
          </w:p>
          <w:p w14:paraId="3FB5C1E2" w14:textId="4003F016" w:rsidR="0073406E" w:rsidRPr="00521C1F" w:rsidRDefault="004874CA" w:rsidP="00D50609">
            <w:pPr>
              <w:pStyle w:val="TableParagraph"/>
              <w:spacing w:line="360" w:lineRule="auto"/>
              <w:ind w:firstLine="42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3</w:t>
            </w:r>
            <w:r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.你们的股价咋就上不去呢？</w:t>
            </w:r>
            <w:r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答:公司始终密切关注自身股价及市值波动情况，公司以打造行业领先、独具特色的“衍生品投行”为目标，始终聚焦主业，努力提升经营效率、盈利能力和投资价值，从而提振投资者信心。</w:t>
            </w:r>
            <w:r w:rsidR="005A3C00"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 w:rsidR="005A3C00"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 4.《浙江省金融业发展“十四五”规划》明确提出，要以数智金融平台为核心，构建数智化区域金融运行体系，打造数智金融先行省。请问公司在数智化转型方面有什么成果吗？</w:t>
            </w:r>
            <w:r w:rsidR="005A3C00"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 w:rsidR="005A3C00"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答:近年来，公司聚焦数智变革和金融科技创新，通过系统升级、能力升级、组织升级，打通核心环节，逐步形成了永安期货APP、“私募线上化”“监督一张网”“公司一本账”等一系列数字“硬核”成果。其中，公司“监督一张网”项目荣获央行2023年度金融科技发展二等奖，该项目紧密围绕中央金融工作会议对风险“早识别、早预警、早暴露、早处置”的管控要求，以数智思维推动期货风险管理创新。未来，公司将坚持业务驱动，技术引领，持续探索技术赋能业务的新思路，建设高效的技术底座和应用系统，为期货市场长期稳定向好发展提供坚实保障，全力做好“数字金融”大文章，以自身高质量发展助力金融强国建设。</w:t>
            </w:r>
            <w:r w:rsidR="005A3C00"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 w:rsidR="005A3C00"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 5.随着金融行业对服务实体经济重视程度的不断提升，请问公司今年在探索产融结合助力实体经济的路径上，有哪些新进展或成果?</w:t>
            </w:r>
            <w:r w:rsidR="005A3C00"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 w:rsidR="005A3C00"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答:公司作为行业开拓者和创新者，积极践行“实体经济发展到哪里，永安服务就跟进到哪里”的发展方针。截至目前，公司累计服务实体企业超1.4万家。今年，永安期货全资子公司永安资本充分发挥风险管理业务的专业优势，成功助力柳钢集团首创新国标螺纹钢仓单。整体上看，永安资本通过期现融合策略，帮助柳钢集团实现了营销模式的创新，有效对冲了市场波动带来的风险，确保了新旧国标过渡期的平稳进行；通过拓宽销售渠道等措施，有效地增强了柳钢集团的市场竞争力，进一步强化了钢铁产业链的韧性，为供应链安全提供了有力地支撑。</w:t>
            </w:r>
            <w:r w:rsidR="005A3C00"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 w:rsidR="005A3C00"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 6.“保险+期货”模式作为贵公司服务三农的金字招牌，今年是否有更多创新性的服务模式和产品，以更好地惠及广大农户?</w:t>
            </w:r>
            <w:r w:rsidR="005A3C00"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 w:rsidR="005A3C00"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答:助力乡村振兴是公司30年践行长期主义发展战略的重要落脚点之一。作为金融国企，公司积极推广“党建+”“期货+”“共富+”新模式，开展各类帮扶和公益活动，助力乡村振兴和共同富裕。截至目前，公司在全国26个省份开展600余个“保险+期货”项目，为30余万农户提供有效的价格风险保障。 </w:t>
            </w:r>
          </w:p>
          <w:p w14:paraId="7410D218" w14:textId="4B784FD3" w:rsidR="00D50609" w:rsidRPr="00521C1F" w:rsidRDefault="005A3C00" w:rsidP="00D50609">
            <w:pPr>
              <w:pStyle w:val="TableParagraph"/>
              <w:spacing w:line="360" w:lineRule="auto"/>
              <w:ind w:firstLine="42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>今年9月，公司成功启动阿克苏“保险+期货”试点项目，创新融合“保险+期货+订单+担保+信贷”模式，高效整合各方资源，开拓金融支农新机制。该项目预计为温宿县三地近800户农户的5万亩红枣地提供坚实的风险屏障，有望推动当地红枣产业的蓬勃发展。</w:t>
            </w: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 7.关注到公司董事会审议通过《关于成立网络金融部的议案》，请问成立网络金融部的定位是什么？</w:t>
            </w:r>
            <w:r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答:近年来，互联网经纪业务模式及技术日渐成熟，为抓住互联网经纪业务快速发展契机、提升经纪业务收益，公司成立网络金融部负责统筹公司互联网营销管理，系统推进对活跃个人投资者的开发与拓展工作，增强公司的营销服务能力，进而推动经纪业务收入的持续增长。</w:t>
            </w: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 8.如何看待贵司在本次上交所信息披露工作评价中获评最高评级A级？未来是否可以保持？</w:t>
            </w:r>
            <w:r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答:近年来，从中央金融工作会议到国务院新“国九条”、资本市场“1+N”新政，都对资本市场高质量发展提出了更高要求。公司自上市以来，坚持以投资者为本，持续提升公司治理水平，积极构建良好的资本市场生态。加速公司治理转型升级，公司着力打造“五型”董事会，从战略驱动、高效治理、合规专业、阳光监督、绿色创新五大维度提升公司治理水平和效能；提升信息披露质量和效率，公司在依法合规完成信披规定动作的基础上，多渠道、多形式、多维度加强自愿性披露，确保投资者及时、充分了解公司发展情况；构建开放透明的投关体系，通过业绩说明会、投资者交流会、路演</w:t>
            </w:r>
            <w:r w:rsidR="00202F0E"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反路演等方式“引进来、走出去”，借助新媒体平台增进与投资者的互动交流，普及期货行业发展情况，传递公司投资价值；重视投资者回报，从新三板到主板，公司累计分红约16亿元，主板上市以来，公司每年度现金分红均占当年归母净利润的30%以上，并已连续两年开展中期分红，以实际行动回馈投资者。 </w:t>
            </w:r>
          </w:p>
          <w:p w14:paraId="1A938106" w14:textId="298F287B" w:rsidR="00611727" w:rsidRPr="00521C1F" w:rsidRDefault="005A3C00" w:rsidP="00D50609">
            <w:pPr>
              <w:pStyle w:val="TableParagraph"/>
              <w:spacing w:line="360" w:lineRule="auto"/>
              <w:ind w:firstLine="42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>上市近三年，公司的规范治理水平得到了监管部门和资本市场的高度认可，不仅荣获上海证券交易所信息披露工作最高评级A级，也在去年成功入选中国上市公司协会“董事会优秀实践案例”“董办最佳实践案例”“ESG优秀实践案例”等。未来，公司将坚守初心、载誉前行，坚持以投资者为本、以规范运作为基，努力提升公司投资价值，助力资本市场高质量发展。</w:t>
            </w: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  <w:r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 xml:space="preserve">    9.目前，公司的股东户数是多少？</w:t>
            </w:r>
            <w:r w:rsidRPr="00521C1F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br/>
            </w: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答:截至2024年9月30日，公司A股股东户数为39,041户。</w:t>
            </w:r>
          </w:p>
        </w:tc>
      </w:tr>
      <w:tr w:rsidR="00AD3DC0" w:rsidRPr="00521C1F" w14:paraId="01228DDA" w14:textId="77777777" w:rsidTr="00086F3B">
        <w:trPr>
          <w:trHeight w:val="516"/>
          <w:jc w:val="center"/>
        </w:trPr>
        <w:tc>
          <w:tcPr>
            <w:tcW w:w="2972" w:type="dxa"/>
            <w:vAlign w:val="center"/>
          </w:tcPr>
          <w:p w14:paraId="6F47A3BE" w14:textId="2332527A" w:rsidR="00AD3DC0" w:rsidRPr="00521C1F" w:rsidRDefault="00AD3DC0" w:rsidP="00AD3DC0">
            <w:pPr>
              <w:pStyle w:val="TableParagraph"/>
              <w:jc w:val="bot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5553" w:type="dxa"/>
            <w:vAlign w:val="center"/>
          </w:tcPr>
          <w:p w14:paraId="2A61B326" w14:textId="5C92E99C" w:rsidR="00AD3DC0" w:rsidRPr="00521C1F" w:rsidRDefault="00AD3DC0" w:rsidP="00AD3DC0">
            <w:pPr>
              <w:pStyle w:val="TableParagraph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本次活动不涉及未公开披露的重大信息。</w:t>
            </w:r>
          </w:p>
        </w:tc>
      </w:tr>
      <w:tr w:rsidR="00AD3DC0" w:rsidRPr="00521C1F" w14:paraId="2D773ED6" w14:textId="77777777" w:rsidTr="00086F3B">
        <w:trPr>
          <w:trHeight w:val="411"/>
          <w:jc w:val="center"/>
        </w:trPr>
        <w:tc>
          <w:tcPr>
            <w:tcW w:w="2972" w:type="dxa"/>
            <w:vAlign w:val="center"/>
          </w:tcPr>
          <w:p w14:paraId="01AAB9DE" w14:textId="0B18F6F8" w:rsidR="00AD3DC0" w:rsidRPr="00521C1F" w:rsidRDefault="00AD3DC0" w:rsidP="00AD3DC0">
            <w:pPr>
              <w:pStyle w:val="TableParagraph"/>
              <w:jc w:val="bot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5553" w:type="dxa"/>
            <w:vAlign w:val="center"/>
          </w:tcPr>
          <w:p w14:paraId="0DA9282F" w14:textId="7A6CD438" w:rsidR="00AD3DC0" w:rsidRPr="00521C1F" w:rsidRDefault="00AD3DC0" w:rsidP="00AD3DC0">
            <w:pPr>
              <w:pStyle w:val="TableParagraph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无</w:t>
            </w:r>
          </w:p>
        </w:tc>
      </w:tr>
      <w:tr w:rsidR="00AD3DC0" w:rsidRPr="00521C1F" w14:paraId="5BB8B400" w14:textId="77777777" w:rsidTr="00086F3B">
        <w:trPr>
          <w:trHeight w:val="411"/>
          <w:jc w:val="center"/>
        </w:trPr>
        <w:tc>
          <w:tcPr>
            <w:tcW w:w="2972" w:type="dxa"/>
            <w:vAlign w:val="center"/>
          </w:tcPr>
          <w:p w14:paraId="616DBC0A" w14:textId="57C72DC8" w:rsidR="00AD3DC0" w:rsidRPr="00521C1F" w:rsidRDefault="00AD3DC0" w:rsidP="00AD3DC0">
            <w:pPr>
              <w:pStyle w:val="TableParagraph"/>
              <w:jc w:val="bot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553" w:type="dxa"/>
            <w:vAlign w:val="center"/>
          </w:tcPr>
          <w:p w14:paraId="49D3C1A5" w14:textId="0F343983" w:rsidR="00AD3DC0" w:rsidRPr="00521C1F" w:rsidRDefault="00AD3DC0" w:rsidP="00AD3DC0">
            <w:pPr>
              <w:pStyle w:val="TableParagraph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21C1F">
              <w:rPr>
                <w:rFonts w:asciiTheme="minorEastAsia" w:eastAsiaTheme="minorEastAsia" w:hAnsiTheme="minorEastAsia" w:cs="宋体"/>
                <w:sz w:val="24"/>
                <w:szCs w:val="24"/>
              </w:rPr>
              <w:t>2024年11月12日</w:t>
            </w:r>
          </w:p>
        </w:tc>
      </w:tr>
    </w:tbl>
    <w:p w14:paraId="3985E4BA" w14:textId="77777777" w:rsidR="00611727" w:rsidRDefault="00611727">
      <w:pPr>
        <w:rPr>
          <w:rFonts w:ascii="宋体" w:eastAsia="宋体" w:hAnsi="宋体" w:cs="宋体"/>
          <w:sz w:val="28"/>
          <w:szCs w:val="36"/>
        </w:rPr>
      </w:pPr>
    </w:p>
    <w:sectPr w:rsidR="00611727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692B0D" w16cex:dateUtc="2024-11-12T05:44:00Z"/>
  <w16cex:commentExtensible w16cex:durableId="3BB9C751" w16cex:dateUtc="2024-11-12T0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CDE5A14" w16cid:durableId="009E4F46"/>
  <w16cid:commentId w16cid:paraId="6EBB80F1" w16cid:durableId="28692B0D"/>
  <w16cid:commentId w16cid:paraId="00BD2A89" w16cid:durableId="3BB9C75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37D07" w14:textId="77777777" w:rsidR="00347380" w:rsidRDefault="00347380" w:rsidP="0073406E">
      <w:r>
        <w:separator/>
      </w:r>
    </w:p>
  </w:endnote>
  <w:endnote w:type="continuationSeparator" w:id="0">
    <w:p w14:paraId="582048E8" w14:textId="77777777" w:rsidR="00347380" w:rsidRDefault="00347380" w:rsidP="0073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DE0FD" w14:textId="77777777" w:rsidR="00347380" w:rsidRDefault="00347380" w:rsidP="0073406E">
      <w:r>
        <w:separator/>
      </w:r>
    </w:p>
  </w:footnote>
  <w:footnote w:type="continuationSeparator" w:id="0">
    <w:p w14:paraId="7BC0451B" w14:textId="77777777" w:rsidR="00347380" w:rsidRDefault="00347380" w:rsidP="00734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6F3B"/>
    <w:rsid w:val="000877AB"/>
    <w:rsid w:val="000B7C08"/>
    <w:rsid w:val="000D12CF"/>
    <w:rsid w:val="000D2D88"/>
    <w:rsid w:val="000E4B20"/>
    <w:rsid w:val="0011418F"/>
    <w:rsid w:val="00172C24"/>
    <w:rsid w:val="001C5944"/>
    <w:rsid w:val="001C6EFE"/>
    <w:rsid w:val="001E59D1"/>
    <w:rsid w:val="001E5EA4"/>
    <w:rsid w:val="00202F0E"/>
    <w:rsid w:val="002042A7"/>
    <w:rsid w:val="00205911"/>
    <w:rsid w:val="002146AD"/>
    <w:rsid w:val="00275CB6"/>
    <w:rsid w:val="002800B5"/>
    <w:rsid w:val="002934B1"/>
    <w:rsid w:val="00295B29"/>
    <w:rsid w:val="002D4073"/>
    <w:rsid w:val="002E7098"/>
    <w:rsid w:val="00301D32"/>
    <w:rsid w:val="00347380"/>
    <w:rsid w:val="00366FAD"/>
    <w:rsid w:val="0037105B"/>
    <w:rsid w:val="00376F84"/>
    <w:rsid w:val="003975BA"/>
    <w:rsid w:val="003A74E6"/>
    <w:rsid w:val="003B73DD"/>
    <w:rsid w:val="003D011C"/>
    <w:rsid w:val="003E4EE3"/>
    <w:rsid w:val="00403BA0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874CA"/>
    <w:rsid w:val="004925E7"/>
    <w:rsid w:val="00495B11"/>
    <w:rsid w:val="004F6FF3"/>
    <w:rsid w:val="00521C1F"/>
    <w:rsid w:val="00524774"/>
    <w:rsid w:val="005506C9"/>
    <w:rsid w:val="0056345E"/>
    <w:rsid w:val="00571B49"/>
    <w:rsid w:val="005743AE"/>
    <w:rsid w:val="005A3C00"/>
    <w:rsid w:val="005D64CA"/>
    <w:rsid w:val="005E5717"/>
    <w:rsid w:val="005E6DB2"/>
    <w:rsid w:val="00611727"/>
    <w:rsid w:val="0061433E"/>
    <w:rsid w:val="0062751D"/>
    <w:rsid w:val="006354AA"/>
    <w:rsid w:val="00644F10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3406E"/>
    <w:rsid w:val="00754FC7"/>
    <w:rsid w:val="00764128"/>
    <w:rsid w:val="007824B8"/>
    <w:rsid w:val="007862BA"/>
    <w:rsid w:val="00786AF6"/>
    <w:rsid w:val="007910DD"/>
    <w:rsid w:val="007A3EC1"/>
    <w:rsid w:val="007B3368"/>
    <w:rsid w:val="007D0A69"/>
    <w:rsid w:val="007D6DC4"/>
    <w:rsid w:val="00853463"/>
    <w:rsid w:val="008676FE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576BF"/>
    <w:rsid w:val="00960964"/>
    <w:rsid w:val="00965E4D"/>
    <w:rsid w:val="009731DE"/>
    <w:rsid w:val="009B1D5C"/>
    <w:rsid w:val="009C2E31"/>
    <w:rsid w:val="009E1955"/>
    <w:rsid w:val="009E5A78"/>
    <w:rsid w:val="009F77C6"/>
    <w:rsid w:val="00A527AA"/>
    <w:rsid w:val="00A5684D"/>
    <w:rsid w:val="00A61535"/>
    <w:rsid w:val="00A70213"/>
    <w:rsid w:val="00A75C61"/>
    <w:rsid w:val="00A9601B"/>
    <w:rsid w:val="00AD100E"/>
    <w:rsid w:val="00AD2500"/>
    <w:rsid w:val="00AD3DC0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B16A2"/>
    <w:rsid w:val="00BF11C4"/>
    <w:rsid w:val="00BF132F"/>
    <w:rsid w:val="00C13878"/>
    <w:rsid w:val="00C93FAC"/>
    <w:rsid w:val="00CA1705"/>
    <w:rsid w:val="00CB41B6"/>
    <w:rsid w:val="00CC3DF2"/>
    <w:rsid w:val="00CD24E7"/>
    <w:rsid w:val="00CE1A54"/>
    <w:rsid w:val="00CF5FB6"/>
    <w:rsid w:val="00D02518"/>
    <w:rsid w:val="00D17454"/>
    <w:rsid w:val="00D33FBC"/>
    <w:rsid w:val="00D453F0"/>
    <w:rsid w:val="00D50609"/>
    <w:rsid w:val="00D7535C"/>
    <w:rsid w:val="00D76302"/>
    <w:rsid w:val="00D809F5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E74A8"/>
    <w:rsid w:val="00EF499B"/>
    <w:rsid w:val="00F14977"/>
    <w:rsid w:val="00F16B28"/>
    <w:rsid w:val="00FB2B26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3227B76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9399B63"/>
  <w15:docId w15:val="{2695E79F-30E6-40CC-83A5-97D6710A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Revision"/>
    <w:hidden/>
    <w:uiPriority w:val="99"/>
    <w:semiHidden/>
    <w:rsid w:val="00A70213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2641</Words>
  <Characters>318</Characters>
  <Application>Microsoft Office Word</Application>
  <DocSecurity>0</DocSecurity>
  <Lines>22</Lines>
  <Paragraphs>128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wjw</cp:lastModifiedBy>
  <cp:revision>11</cp:revision>
  <dcterms:created xsi:type="dcterms:W3CDTF">2024-11-12T06:33:00Z</dcterms:created>
  <dcterms:modified xsi:type="dcterms:W3CDTF">2024-11-12T07:26:00Z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57D148DF2F764966BF4E1C38A6255FA2</vt:lpwstr>
  </property>
</Properties>
</file>