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387" w:rsidRPr="005D0270" w:rsidRDefault="00A40387">
      <w:pPr>
        <w:rPr>
          <w:sz w:val="24"/>
          <w:szCs w:val="24"/>
        </w:rPr>
      </w:pPr>
      <w:r w:rsidRPr="00D114B7">
        <w:rPr>
          <w:sz w:val="24"/>
          <w:szCs w:val="24"/>
        </w:rPr>
        <w:t>公司代码：</w:t>
      </w:r>
      <w:r w:rsidRPr="00D114B7">
        <w:rPr>
          <w:rFonts w:hint="eastAsia"/>
          <w:sz w:val="24"/>
          <w:szCs w:val="24"/>
        </w:rPr>
        <w:t xml:space="preserve">600865     </w:t>
      </w:r>
      <w:r w:rsidR="00D114B7">
        <w:rPr>
          <w:rFonts w:hint="eastAsia"/>
          <w:sz w:val="24"/>
          <w:szCs w:val="24"/>
        </w:rPr>
        <w:t xml:space="preserve">                                      </w:t>
      </w:r>
      <w:r w:rsidRPr="00D114B7">
        <w:rPr>
          <w:rFonts w:hint="eastAsia"/>
          <w:sz w:val="24"/>
          <w:szCs w:val="24"/>
        </w:rPr>
        <w:t>公司简称：百大集团</w:t>
      </w:r>
    </w:p>
    <w:p w:rsidR="00A40387" w:rsidRPr="006F2F92" w:rsidRDefault="00A40387" w:rsidP="00CD4C3A">
      <w:pPr>
        <w:spacing w:beforeLines="50" w:before="156" w:line="600" w:lineRule="exact"/>
        <w:jc w:val="center"/>
        <w:rPr>
          <w:rFonts w:ascii="宋体" w:eastAsia="宋体" w:hAnsi="宋体"/>
          <w:b/>
          <w:sz w:val="36"/>
          <w:szCs w:val="36"/>
        </w:rPr>
      </w:pPr>
      <w:r w:rsidRPr="006F2F92">
        <w:rPr>
          <w:rFonts w:ascii="宋体" w:eastAsia="宋体" w:hAnsi="宋体" w:hint="eastAsia"/>
          <w:b/>
          <w:sz w:val="36"/>
          <w:szCs w:val="36"/>
        </w:rPr>
        <w:t>百大集团股份有限公司</w:t>
      </w:r>
    </w:p>
    <w:p w:rsidR="00A40387" w:rsidRPr="006F2F92" w:rsidRDefault="00A84E34" w:rsidP="00AF25A2">
      <w:pPr>
        <w:spacing w:line="600" w:lineRule="exact"/>
        <w:jc w:val="center"/>
        <w:rPr>
          <w:rFonts w:ascii="宋体" w:eastAsia="宋体" w:hAnsi="宋体"/>
          <w:b/>
          <w:sz w:val="36"/>
          <w:szCs w:val="36"/>
        </w:rPr>
      </w:pPr>
      <w:r w:rsidRPr="00A84E34">
        <w:rPr>
          <w:rFonts w:ascii="宋体" w:eastAsia="宋体" w:hAnsi="宋体" w:hint="eastAsia"/>
          <w:b/>
          <w:sz w:val="36"/>
          <w:szCs w:val="36"/>
        </w:rPr>
        <w:t>202</w:t>
      </w:r>
      <w:r w:rsidR="00DB065F">
        <w:rPr>
          <w:rFonts w:ascii="宋体" w:eastAsia="宋体" w:hAnsi="宋体" w:hint="eastAsia"/>
          <w:b/>
          <w:sz w:val="36"/>
          <w:szCs w:val="36"/>
        </w:rPr>
        <w:t>4</w:t>
      </w:r>
      <w:r w:rsidRPr="00A84E34">
        <w:rPr>
          <w:rFonts w:ascii="宋体" w:eastAsia="宋体" w:hAnsi="宋体" w:hint="eastAsia"/>
          <w:b/>
          <w:sz w:val="36"/>
          <w:szCs w:val="36"/>
        </w:rPr>
        <w:t>年</w:t>
      </w:r>
      <w:r w:rsidR="00DB065F">
        <w:rPr>
          <w:rFonts w:ascii="宋体" w:eastAsia="宋体" w:hAnsi="宋体" w:hint="eastAsia"/>
          <w:b/>
          <w:sz w:val="36"/>
          <w:szCs w:val="36"/>
        </w:rPr>
        <w:t>第</w:t>
      </w:r>
      <w:r w:rsidR="00223B71">
        <w:rPr>
          <w:rFonts w:ascii="宋体" w:eastAsia="宋体" w:hAnsi="宋体" w:hint="eastAsia"/>
          <w:b/>
          <w:sz w:val="36"/>
          <w:szCs w:val="36"/>
        </w:rPr>
        <w:t>三</w:t>
      </w:r>
      <w:r w:rsidR="00DB065F">
        <w:rPr>
          <w:rFonts w:ascii="宋体" w:eastAsia="宋体" w:hAnsi="宋体" w:hint="eastAsia"/>
          <w:b/>
          <w:sz w:val="36"/>
          <w:szCs w:val="36"/>
        </w:rPr>
        <w:t>季度</w:t>
      </w:r>
      <w:r w:rsidRPr="00A84E34">
        <w:rPr>
          <w:rFonts w:ascii="宋体" w:eastAsia="宋体" w:hAnsi="宋体" w:hint="eastAsia"/>
          <w:b/>
          <w:sz w:val="36"/>
          <w:szCs w:val="36"/>
        </w:rPr>
        <w:t>业绩说明会</w:t>
      </w:r>
      <w:r w:rsidR="00A40387" w:rsidRPr="006F2F92">
        <w:rPr>
          <w:rFonts w:ascii="宋体" w:eastAsia="宋体" w:hAnsi="宋体" w:hint="eastAsia"/>
          <w:b/>
          <w:sz w:val="36"/>
          <w:szCs w:val="36"/>
        </w:rPr>
        <w:t>记录表</w:t>
      </w:r>
    </w:p>
    <w:p w:rsidR="00A40387" w:rsidRPr="00D114B7" w:rsidRDefault="00A40387">
      <w:pPr>
        <w:rPr>
          <w:b/>
        </w:rPr>
      </w:pPr>
    </w:p>
    <w:tbl>
      <w:tblPr>
        <w:tblStyle w:val="a3"/>
        <w:tblW w:w="0" w:type="auto"/>
        <w:tblLook w:val="04A0" w:firstRow="1" w:lastRow="0" w:firstColumn="1" w:lastColumn="0" w:noHBand="0" w:noVBand="1"/>
      </w:tblPr>
      <w:tblGrid>
        <w:gridCol w:w="2802"/>
        <w:gridCol w:w="6826"/>
      </w:tblGrid>
      <w:tr w:rsidR="00A40387" w:rsidTr="001D5CB8">
        <w:trPr>
          <w:trHeight w:val="660"/>
        </w:trPr>
        <w:tc>
          <w:tcPr>
            <w:tcW w:w="2802" w:type="dxa"/>
            <w:vAlign w:val="center"/>
          </w:tcPr>
          <w:p w:rsidR="00A40387" w:rsidRPr="006F2F92" w:rsidRDefault="00A40387" w:rsidP="00CD4C3A">
            <w:pPr>
              <w:spacing w:line="400" w:lineRule="exact"/>
              <w:jc w:val="center"/>
              <w:rPr>
                <w:rFonts w:ascii="宋体" w:eastAsia="宋体" w:hAnsi="宋体"/>
                <w:sz w:val="24"/>
                <w:szCs w:val="24"/>
              </w:rPr>
            </w:pPr>
            <w:r w:rsidRPr="006F2F92">
              <w:rPr>
                <w:rFonts w:ascii="宋体" w:eastAsia="宋体" w:hAnsi="宋体"/>
                <w:sz w:val="24"/>
                <w:szCs w:val="24"/>
              </w:rPr>
              <w:t>投资者关系活动类别</w:t>
            </w:r>
          </w:p>
        </w:tc>
        <w:tc>
          <w:tcPr>
            <w:tcW w:w="6826" w:type="dxa"/>
            <w:vAlign w:val="center"/>
          </w:tcPr>
          <w:p w:rsidR="00A40387" w:rsidRPr="006F2F92" w:rsidRDefault="00A40387" w:rsidP="00CD4C3A">
            <w:pPr>
              <w:spacing w:line="400" w:lineRule="exact"/>
              <w:rPr>
                <w:rFonts w:ascii="宋体" w:eastAsia="宋体" w:hAnsi="宋体"/>
                <w:sz w:val="24"/>
                <w:szCs w:val="24"/>
              </w:rPr>
            </w:pPr>
            <w:r w:rsidRPr="006F2F92">
              <w:rPr>
                <w:rFonts w:ascii="宋体" w:eastAsia="宋体" w:hAnsi="宋体"/>
                <w:sz w:val="24"/>
                <w:szCs w:val="24"/>
              </w:rPr>
              <w:t>业绩说明会</w:t>
            </w:r>
          </w:p>
        </w:tc>
      </w:tr>
      <w:tr w:rsidR="00A40387" w:rsidTr="001D5CB8">
        <w:trPr>
          <w:trHeight w:val="626"/>
        </w:trPr>
        <w:tc>
          <w:tcPr>
            <w:tcW w:w="2802" w:type="dxa"/>
            <w:vAlign w:val="center"/>
          </w:tcPr>
          <w:p w:rsidR="00A40387" w:rsidRPr="006F2F92" w:rsidRDefault="00A40387" w:rsidP="00CD4C3A">
            <w:pPr>
              <w:spacing w:line="400" w:lineRule="exact"/>
              <w:jc w:val="center"/>
              <w:rPr>
                <w:rFonts w:ascii="宋体" w:eastAsia="宋体" w:hAnsi="宋体"/>
                <w:sz w:val="24"/>
                <w:szCs w:val="24"/>
              </w:rPr>
            </w:pPr>
            <w:r w:rsidRPr="006F2F92">
              <w:rPr>
                <w:rFonts w:ascii="宋体" w:eastAsia="宋体" w:hAnsi="宋体"/>
                <w:sz w:val="24"/>
                <w:szCs w:val="24"/>
              </w:rPr>
              <w:t>时间</w:t>
            </w:r>
          </w:p>
        </w:tc>
        <w:tc>
          <w:tcPr>
            <w:tcW w:w="6826" w:type="dxa"/>
            <w:vAlign w:val="center"/>
          </w:tcPr>
          <w:p w:rsidR="00A40387" w:rsidRPr="006F2F92" w:rsidRDefault="00A84E34" w:rsidP="00223B71">
            <w:pPr>
              <w:spacing w:line="400" w:lineRule="exact"/>
              <w:rPr>
                <w:rFonts w:ascii="宋体" w:eastAsia="宋体" w:hAnsi="宋体"/>
                <w:sz w:val="24"/>
                <w:szCs w:val="24"/>
              </w:rPr>
            </w:pPr>
            <w:r>
              <w:rPr>
                <w:rFonts w:ascii="宋体" w:eastAsia="宋体" w:hAnsi="宋体" w:hint="eastAsia"/>
                <w:sz w:val="24"/>
                <w:szCs w:val="24"/>
              </w:rPr>
              <w:t>202</w:t>
            </w:r>
            <w:r w:rsidR="00166AC0">
              <w:rPr>
                <w:rFonts w:ascii="宋体" w:eastAsia="宋体" w:hAnsi="宋体" w:hint="eastAsia"/>
                <w:sz w:val="24"/>
                <w:szCs w:val="24"/>
              </w:rPr>
              <w:t>4</w:t>
            </w:r>
            <w:r w:rsidR="00A40387" w:rsidRPr="006F2F92">
              <w:rPr>
                <w:rFonts w:ascii="宋体" w:eastAsia="宋体" w:hAnsi="宋体" w:hint="eastAsia"/>
                <w:sz w:val="24"/>
                <w:szCs w:val="24"/>
              </w:rPr>
              <w:t>年</w:t>
            </w:r>
            <w:r w:rsidR="00223B71">
              <w:rPr>
                <w:rFonts w:ascii="宋体" w:eastAsia="宋体" w:hAnsi="宋体" w:hint="eastAsia"/>
                <w:sz w:val="24"/>
                <w:szCs w:val="24"/>
              </w:rPr>
              <w:t>11</w:t>
            </w:r>
            <w:r w:rsidR="00A40387" w:rsidRPr="006F2F92">
              <w:rPr>
                <w:rFonts w:ascii="宋体" w:eastAsia="宋体" w:hAnsi="宋体" w:hint="eastAsia"/>
                <w:sz w:val="24"/>
                <w:szCs w:val="24"/>
              </w:rPr>
              <w:t>月</w:t>
            </w:r>
            <w:r w:rsidR="00223B71">
              <w:rPr>
                <w:rFonts w:ascii="宋体" w:eastAsia="宋体" w:hAnsi="宋体" w:hint="eastAsia"/>
                <w:sz w:val="24"/>
                <w:szCs w:val="24"/>
              </w:rPr>
              <w:t>1</w:t>
            </w:r>
            <w:r w:rsidR="00DB065F">
              <w:rPr>
                <w:rFonts w:ascii="宋体" w:eastAsia="宋体" w:hAnsi="宋体" w:hint="eastAsia"/>
                <w:sz w:val="24"/>
                <w:szCs w:val="24"/>
              </w:rPr>
              <w:t>2</w:t>
            </w:r>
            <w:r w:rsidR="00A40387" w:rsidRPr="006F2F92">
              <w:rPr>
                <w:rFonts w:ascii="宋体" w:eastAsia="宋体" w:hAnsi="宋体" w:hint="eastAsia"/>
                <w:sz w:val="24"/>
                <w:szCs w:val="24"/>
              </w:rPr>
              <w:t>日</w:t>
            </w:r>
            <w:r w:rsidR="00223B71">
              <w:rPr>
                <w:rFonts w:ascii="宋体" w:eastAsia="宋体" w:hAnsi="宋体" w:hint="eastAsia"/>
                <w:sz w:val="24"/>
                <w:szCs w:val="24"/>
              </w:rPr>
              <w:t>下</w:t>
            </w:r>
            <w:r w:rsidR="00A40387" w:rsidRPr="006F2F92">
              <w:rPr>
                <w:rFonts w:ascii="宋体" w:eastAsia="宋体" w:hAnsi="宋体" w:hint="eastAsia"/>
                <w:sz w:val="24"/>
                <w:szCs w:val="24"/>
              </w:rPr>
              <w:t>午1</w:t>
            </w:r>
            <w:r w:rsidR="00223B71">
              <w:rPr>
                <w:rFonts w:ascii="宋体" w:eastAsia="宋体" w:hAnsi="宋体" w:hint="eastAsia"/>
                <w:sz w:val="24"/>
                <w:szCs w:val="24"/>
              </w:rPr>
              <w:t>3</w:t>
            </w:r>
            <w:r w:rsidR="00A40387" w:rsidRPr="006F2F92">
              <w:rPr>
                <w:rFonts w:ascii="宋体" w:eastAsia="宋体" w:hAnsi="宋体" w:hint="eastAsia"/>
                <w:sz w:val="24"/>
                <w:szCs w:val="24"/>
              </w:rPr>
              <w:t>:00-1</w:t>
            </w:r>
            <w:r w:rsidR="00223B71">
              <w:rPr>
                <w:rFonts w:ascii="宋体" w:eastAsia="宋体" w:hAnsi="宋体" w:hint="eastAsia"/>
                <w:sz w:val="24"/>
                <w:szCs w:val="24"/>
              </w:rPr>
              <w:t>4</w:t>
            </w:r>
            <w:r w:rsidR="00A40387" w:rsidRPr="006F2F92">
              <w:rPr>
                <w:rFonts w:ascii="宋体" w:eastAsia="宋体" w:hAnsi="宋体" w:hint="eastAsia"/>
                <w:sz w:val="24"/>
                <w:szCs w:val="24"/>
              </w:rPr>
              <w:t>:00</w:t>
            </w:r>
          </w:p>
        </w:tc>
      </w:tr>
      <w:tr w:rsidR="00A40387" w:rsidTr="001D5CB8">
        <w:trPr>
          <w:trHeight w:val="1059"/>
        </w:trPr>
        <w:tc>
          <w:tcPr>
            <w:tcW w:w="2802" w:type="dxa"/>
            <w:vAlign w:val="center"/>
          </w:tcPr>
          <w:p w:rsidR="00A40387" w:rsidRPr="006F2F92" w:rsidRDefault="00A40387" w:rsidP="00CD4C3A">
            <w:pPr>
              <w:spacing w:line="400" w:lineRule="exact"/>
              <w:jc w:val="center"/>
              <w:rPr>
                <w:rFonts w:ascii="宋体" w:eastAsia="宋体" w:hAnsi="宋体"/>
                <w:sz w:val="24"/>
                <w:szCs w:val="24"/>
              </w:rPr>
            </w:pPr>
            <w:r w:rsidRPr="006F2F92">
              <w:rPr>
                <w:rFonts w:ascii="宋体" w:eastAsia="宋体" w:hAnsi="宋体"/>
                <w:sz w:val="24"/>
                <w:szCs w:val="24"/>
              </w:rPr>
              <w:t>地点</w:t>
            </w:r>
          </w:p>
        </w:tc>
        <w:tc>
          <w:tcPr>
            <w:tcW w:w="6826" w:type="dxa"/>
            <w:vAlign w:val="center"/>
          </w:tcPr>
          <w:p w:rsidR="00CF733F" w:rsidRPr="006F2F92" w:rsidRDefault="00A40387" w:rsidP="00CD4C3A">
            <w:pPr>
              <w:spacing w:line="400" w:lineRule="exact"/>
              <w:rPr>
                <w:rFonts w:ascii="宋体" w:eastAsia="宋体" w:hAnsi="宋体"/>
                <w:sz w:val="24"/>
                <w:szCs w:val="24"/>
              </w:rPr>
            </w:pPr>
            <w:r w:rsidRPr="006F2F92">
              <w:rPr>
                <w:rFonts w:ascii="宋体" w:eastAsia="宋体" w:hAnsi="宋体" w:hint="eastAsia"/>
                <w:sz w:val="24"/>
                <w:szCs w:val="24"/>
              </w:rPr>
              <w:t>上海证券交易所</w:t>
            </w:r>
            <w:proofErr w:type="gramStart"/>
            <w:r w:rsidRPr="006F2F92">
              <w:rPr>
                <w:rFonts w:ascii="宋体" w:eastAsia="宋体" w:hAnsi="宋体" w:hint="eastAsia"/>
                <w:sz w:val="24"/>
                <w:szCs w:val="24"/>
              </w:rPr>
              <w:t>上证路演</w:t>
            </w:r>
            <w:proofErr w:type="gramEnd"/>
            <w:r w:rsidRPr="006F2F92">
              <w:rPr>
                <w:rFonts w:ascii="宋体" w:eastAsia="宋体" w:hAnsi="宋体" w:hint="eastAsia"/>
                <w:sz w:val="24"/>
                <w:szCs w:val="24"/>
              </w:rPr>
              <w:t>中心</w:t>
            </w:r>
          </w:p>
          <w:p w:rsidR="00A40387" w:rsidRPr="006F2F92" w:rsidRDefault="00A40387" w:rsidP="00CD4C3A">
            <w:pPr>
              <w:spacing w:line="400" w:lineRule="exact"/>
              <w:rPr>
                <w:rFonts w:ascii="宋体" w:eastAsia="宋体" w:hAnsi="宋体"/>
                <w:sz w:val="24"/>
                <w:szCs w:val="24"/>
              </w:rPr>
            </w:pPr>
            <w:r w:rsidRPr="006F2F92">
              <w:rPr>
                <w:rFonts w:ascii="宋体" w:eastAsia="宋体" w:hAnsi="宋体" w:hint="eastAsia"/>
                <w:sz w:val="24"/>
                <w:szCs w:val="24"/>
              </w:rPr>
              <w:t>（网址：http://roadshow.sseinfo.com/）</w:t>
            </w:r>
          </w:p>
        </w:tc>
      </w:tr>
      <w:tr w:rsidR="00A40387" w:rsidTr="0014055F">
        <w:trPr>
          <w:trHeight w:val="1297"/>
        </w:trPr>
        <w:tc>
          <w:tcPr>
            <w:tcW w:w="2802" w:type="dxa"/>
            <w:vAlign w:val="center"/>
          </w:tcPr>
          <w:p w:rsidR="00A40387" w:rsidRPr="006F2F92" w:rsidRDefault="00A40387" w:rsidP="00CD4C3A">
            <w:pPr>
              <w:spacing w:line="400" w:lineRule="exact"/>
              <w:jc w:val="center"/>
              <w:rPr>
                <w:rFonts w:ascii="宋体" w:eastAsia="宋体" w:hAnsi="宋体"/>
                <w:sz w:val="24"/>
                <w:szCs w:val="24"/>
              </w:rPr>
            </w:pPr>
            <w:r w:rsidRPr="006F2F92">
              <w:rPr>
                <w:rFonts w:ascii="宋体" w:eastAsia="宋体" w:hAnsi="宋体"/>
                <w:sz w:val="24"/>
                <w:szCs w:val="24"/>
              </w:rPr>
              <w:t>上市公司参会人员</w:t>
            </w:r>
          </w:p>
        </w:tc>
        <w:tc>
          <w:tcPr>
            <w:tcW w:w="6826" w:type="dxa"/>
            <w:vAlign w:val="center"/>
          </w:tcPr>
          <w:p w:rsidR="00A40387" w:rsidRPr="006F2F92" w:rsidRDefault="00A40387" w:rsidP="00CD4C3A">
            <w:pPr>
              <w:spacing w:line="400" w:lineRule="exact"/>
              <w:rPr>
                <w:rFonts w:ascii="宋体" w:eastAsia="宋体" w:hAnsi="宋体"/>
                <w:sz w:val="24"/>
                <w:szCs w:val="24"/>
              </w:rPr>
            </w:pPr>
            <w:r w:rsidRPr="006F2F92">
              <w:rPr>
                <w:rFonts w:ascii="宋体" w:eastAsia="宋体" w:hAnsi="宋体" w:hint="eastAsia"/>
                <w:sz w:val="24"/>
                <w:szCs w:val="24"/>
              </w:rPr>
              <w:t>公司董事</w:t>
            </w:r>
            <w:r w:rsidR="006F2F92" w:rsidRPr="006F2F92">
              <w:rPr>
                <w:rFonts w:ascii="宋体" w:eastAsia="宋体" w:hAnsi="宋体" w:hint="eastAsia"/>
                <w:sz w:val="24"/>
                <w:szCs w:val="24"/>
              </w:rPr>
              <w:t>兼</w:t>
            </w:r>
            <w:r w:rsidRPr="006F2F92">
              <w:rPr>
                <w:rFonts w:ascii="宋体" w:eastAsia="宋体" w:hAnsi="宋体" w:hint="eastAsia"/>
                <w:sz w:val="24"/>
                <w:szCs w:val="24"/>
              </w:rPr>
              <w:t>总经理董振东先生，独立董事</w:t>
            </w:r>
            <w:r w:rsidR="00223B71">
              <w:rPr>
                <w:rFonts w:ascii="宋体" w:eastAsia="宋体" w:hAnsi="宋体" w:hint="eastAsia"/>
                <w:sz w:val="24"/>
                <w:szCs w:val="24"/>
              </w:rPr>
              <w:t>何超</w:t>
            </w:r>
            <w:r w:rsidR="00041F35">
              <w:rPr>
                <w:rFonts w:ascii="宋体" w:eastAsia="宋体" w:hAnsi="宋体" w:hint="eastAsia"/>
                <w:sz w:val="24"/>
                <w:szCs w:val="24"/>
              </w:rPr>
              <w:t>先生</w:t>
            </w:r>
            <w:r w:rsidR="006F2F92" w:rsidRPr="006F2F92">
              <w:rPr>
                <w:rFonts w:ascii="宋体" w:eastAsia="宋体" w:hAnsi="宋体" w:hint="eastAsia"/>
                <w:sz w:val="24"/>
                <w:szCs w:val="24"/>
              </w:rPr>
              <w:t>，董事兼</w:t>
            </w:r>
            <w:r w:rsidRPr="006F2F92">
              <w:rPr>
                <w:rFonts w:ascii="宋体" w:eastAsia="宋体" w:hAnsi="宋体" w:hint="eastAsia"/>
                <w:sz w:val="24"/>
                <w:szCs w:val="24"/>
              </w:rPr>
              <w:t>董事会秘书陈琳玲女士，财务总监</w:t>
            </w:r>
            <w:r w:rsidR="00041F35">
              <w:rPr>
                <w:rFonts w:ascii="宋体" w:eastAsia="宋体" w:hAnsi="宋体" w:hint="eastAsia"/>
                <w:sz w:val="24"/>
                <w:szCs w:val="24"/>
              </w:rPr>
              <w:t>丰奕晓</w:t>
            </w:r>
            <w:r w:rsidRPr="006F2F92">
              <w:rPr>
                <w:rFonts w:ascii="宋体" w:eastAsia="宋体" w:hAnsi="宋体" w:hint="eastAsia"/>
                <w:sz w:val="24"/>
                <w:szCs w:val="24"/>
              </w:rPr>
              <w:t>女士</w:t>
            </w:r>
            <w:r w:rsidR="00725886">
              <w:rPr>
                <w:rFonts w:ascii="宋体" w:eastAsia="宋体" w:hAnsi="宋体" w:hint="eastAsia"/>
                <w:sz w:val="24"/>
                <w:szCs w:val="24"/>
              </w:rPr>
              <w:t>。</w:t>
            </w:r>
          </w:p>
        </w:tc>
      </w:tr>
      <w:tr w:rsidR="00A40387" w:rsidTr="00AF25A2">
        <w:trPr>
          <w:trHeight w:val="5230"/>
        </w:trPr>
        <w:tc>
          <w:tcPr>
            <w:tcW w:w="2802" w:type="dxa"/>
            <w:vAlign w:val="center"/>
          </w:tcPr>
          <w:p w:rsidR="00D114B7" w:rsidRPr="006F2F92" w:rsidRDefault="00A40387" w:rsidP="00CD4C3A">
            <w:pPr>
              <w:spacing w:line="400" w:lineRule="exact"/>
              <w:jc w:val="center"/>
              <w:rPr>
                <w:rFonts w:ascii="宋体" w:eastAsia="宋体" w:hAnsi="宋体"/>
                <w:sz w:val="24"/>
                <w:szCs w:val="24"/>
              </w:rPr>
            </w:pPr>
            <w:r w:rsidRPr="006F2F92">
              <w:rPr>
                <w:rFonts w:ascii="宋体" w:eastAsia="宋体" w:hAnsi="宋体"/>
                <w:sz w:val="24"/>
                <w:szCs w:val="24"/>
              </w:rPr>
              <w:t>投资者关系活动</w:t>
            </w:r>
          </w:p>
          <w:p w:rsidR="00A40387" w:rsidRPr="006F2F92" w:rsidRDefault="00A40387" w:rsidP="00CD4C3A">
            <w:pPr>
              <w:spacing w:line="400" w:lineRule="exact"/>
              <w:jc w:val="center"/>
              <w:rPr>
                <w:rFonts w:ascii="宋体" w:eastAsia="宋体" w:hAnsi="宋体"/>
                <w:sz w:val="24"/>
                <w:szCs w:val="24"/>
              </w:rPr>
            </w:pPr>
            <w:r w:rsidRPr="006F2F92">
              <w:rPr>
                <w:rFonts w:ascii="宋体" w:eastAsia="宋体" w:hAnsi="宋体"/>
                <w:sz w:val="24"/>
                <w:szCs w:val="24"/>
              </w:rPr>
              <w:t>主要内容</w:t>
            </w:r>
          </w:p>
        </w:tc>
        <w:tc>
          <w:tcPr>
            <w:tcW w:w="6826" w:type="dxa"/>
            <w:vAlign w:val="center"/>
          </w:tcPr>
          <w:p w:rsidR="007A1203" w:rsidRDefault="00A84E34" w:rsidP="0014055F">
            <w:pPr>
              <w:spacing w:line="360" w:lineRule="exact"/>
              <w:rPr>
                <w:rFonts w:ascii="宋体" w:eastAsia="宋体" w:hAnsi="宋体" w:hint="eastAsia"/>
                <w:b/>
                <w:sz w:val="24"/>
                <w:szCs w:val="24"/>
              </w:rPr>
            </w:pPr>
            <w:r w:rsidRPr="00A84E34">
              <w:rPr>
                <w:rFonts w:ascii="宋体" w:eastAsia="宋体" w:hAnsi="宋体" w:hint="eastAsia"/>
                <w:b/>
                <w:sz w:val="24"/>
                <w:szCs w:val="24"/>
              </w:rPr>
              <w:t>问题</w:t>
            </w:r>
            <w:proofErr w:type="gramStart"/>
            <w:r w:rsidR="007A1203">
              <w:rPr>
                <w:rFonts w:ascii="宋体" w:eastAsia="宋体" w:hAnsi="宋体" w:hint="eastAsia"/>
                <w:b/>
                <w:sz w:val="24"/>
                <w:szCs w:val="24"/>
              </w:rPr>
              <w:t>一</w:t>
            </w:r>
            <w:proofErr w:type="gramEnd"/>
            <w:r w:rsidR="0070093C">
              <w:rPr>
                <w:rFonts w:ascii="宋体" w:eastAsia="宋体" w:hAnsi="宋体" w:hint="eastAsia"/>
                <w:b/>
                <w:sz w:val="24"/>
                <w:szCs w:val="24"/>
              </w:rPr>
              <w:t>：</w:t>
            </w:r>
          </w:p>
          <w:p w:rsidR="00E318AE" w:rsidRPr="00E318AE" w:rsidRDefault="00E318AE" w:rsidP="00E318AE">
            <w:pPr>
              <w:spacing w:line="360" w:lineRule="exact"/>
              <w:ind w:firstLineChars="200" w:firstLine="480"/>
              <w:rPr>
                <w:rFonts w:ascii="宋体" w:eastAsia="宋体" w:hAnsi="宋体" w:hint="eastAsia"/>
                <w:sz w:val="24"/>
                <w:szCs w:val="24"/>
              </w:rPr>
            </w:pPr>
            <w:r w:rsidRPr="00E318AE">
              <w:rPr>
                <w:rFonts w:ascii="宋体" w:eastAsia="宋体" w:hAnsi="宋体" w:hint="eastAsia"/>
                <w:sz w:val="24"/>
                <w:szCs w:val="24"/>
              </w:rPr>
              <w:t>请问原来</w:t>
            </w:r>
            <w:proofErr w:type="gramStart"/>
            <w:r w:rsidRPr="00E318AE">
              <w:rPr>
                <w:rFonts w:ascii="宋体" w:eastAsia="宋体" w:hAnsi="宋体" w:hint="eastAsia"/>
                <w:sz w:val="24"/>
                <w:szCs w:val="24"/>
              </w:rPr>
              <w:t>来</w:t>
            </w:r>
            <w:proofErr w:type="gramEnd"/>
            <w:r w:rsidRPr="00E318AE">
              <w:rPr>
                <w:rFonts w:ascii="宋体" w:eastAsia="宋体" w:hAnsi="宋体" w:hint="eastAsia"/>
                <w:sz w:val="24"/>
                <w:szCs w:val="24"/>
              </w:rPr>
              <w:t>理财资金12亿，现在到15亿，增加的3个亿资金来自于哪里？</w:t>
            </w:r>
          </w:p>
          <w:p w:rsidR="00E318AE" w:rsidRPr="00E318AE" w:rsidRDefault="00E318AE" w:rsidP="00E318AE">
            <w:pPr>
              <w:spacing w:line="360" w:lineRule="exact"/>
              <w:ind w:firstLineChars="200" w:firstLine="480"/>
              <w:rPr>
                <w:rFonts w:ascii="宋体" w:eastAsia="宋体" w:hAnsi="宋体"/>
                <w:sz w:val="24"/>
                <w:szCs w:val="24"/>
              </w:rPr>
            </w:pPr>
            <w:r w:rsidRPr="00E318AE">
              <w:rPr>
                <w:rFonts w:ascii="宋体" w:eastAsia="宋体" w:hAnsi="宋体" w:hint="eastAsia"/>
                <w:sz w:val="24"/>
                <w:szCs w:val="24"/>
              </w:rPr>
              <w:t>公司持有的金融资产里，金</w:t>
            </w:r>
            <w:proofErr w:type="gramStart"/>
            <w:r w:rsidRPr="00E318AE">
              <w:rPr>
                <w:rFonts w:ascii="宋体" w:eastAsia="宋体" w:hAnsi="宋体" w:hint="eastAsia"/>
                <w:sz w:val="24"/>
                <w:szCs w:val="24"/>
              </w:rPr>
              <w:t>地商置</w:t>
            </w:r>
            <w:proofErr w:type="gramEnd"/>
            <w:r w:rsidRPr="00E318AE">
              <w:rPr>
                <w:rFonts w:ascii="宋体" w:eastAsia="宋体" w:hAnsi="宋体" w:hint="eastAsia"/>
                <w:sz w:val="24"/>
                <w:szCs w:val="24"/>
              </w:rPr>
              <w:t>的股份有没有减仓，还是已经清仓？</w:t>
            </w:r>
          </w:p>
          <w:p w:rsidR="0070093C" w:rsidRDefault="0070093C" w:rsidP="0014055F">
            <w:pPr>
              <w:spacing w:line="360" w:lineRule="exact"/>
              <w:rPr>
                <w:rFonts w:ascii="宋体" w:eastAsia="宋体" w:hAnsi="宋体"/>
                <w:b/>
                <w:sz w:val="24"/>
                <w:szCs w:val="24"/>
              </w:rPr>
            </w:pPr>
            <w:r w:rsidRPr="0070093C">
              <w:rPr>
                <w:rFonts w:ascii="宋体" w:eastAsia="宋体" w:hAnsi="宋体" w:hint="eastAsia"/>
                <w:b/>
                <w:sz w:val="24"/>
                <w:szCs w:val="24"/>
              </w:rPr>
              <w:t>答复：</w:t>
            </w:r>
          </w:p>
          <w:p w:rsidR="00E318AE" w:rsidRPr="00E318AE" w:rsidRDefault="00E318AE" w:rsidP="00E318AE">
            <w:pPr>
              <w:spacing w:line="360" w:lineRule="exact"/>
              <w:ind w:firstLineChars="200" w:firstLine="480"/>
              <w:rPr>
                <w:rFonts w:ascii="宋体" w:eastAsia="宋体" w:hAnsi="宋体" w:hint="eastAsia"/>
                <w:sz w:val="24"/>
                <w:szCs w:val="24"/>
              </w:rPr>
            </w:pPr>
            <w:r w:rsidRPr="00E318AE">
              <w:rPr>
                <w:rFonts w:ascii="宋体" w:eastAsia="宋体" w:hAnsi="宋体" w:hint="eastAsia"/>
                <w:sz w:val="24"/>
                <w:szCs w:val="24"/>
              </w:rPr>
              <w:t>尊敬的投资者您好，鉴于公司现金流充足，且处置持有的二级市场股票将新增资金回笼，为了充分提高闲置自有资金的利用效率，在不影响公司正常经营的情况下，拟将委托理财额度由12亿元调整为15亿元。</w:t>
            </w:r>
          </w:p>
          <w:p w:rsidR="0014055F" w:rsidRPr="00E318AE" w:rsidRDefault="00E318AE" w:rsidP="00E318AE">
            <w:pPr>
              <w:spacing w:line="360" w:lineRule="exact"/>
              <w:ind w:firstLineChars="200" w:firstLine="480"/>
              <w:rPr>
                <w:rFonts w:ascii="宋体" w:eastAsia="宋体" w:hAnsi="宋体"/>
                <w:sz w:val="24"/>
                <w:szCs w:val="24"/>
              </w:rPr>
            </w:pPr>
            <w:r w:rsidRPr="00E318AE">
              <w:rPr>
                <w:rFonts w:ascii="宋体" w:eastAsia="宋体" w:hAnsi="宋体" w:hint="eastAsia"/>
                <w:sz w:val="24"/>
                <w:szCs w:val="24"/>
              </w:rPr>
              <w:t>截至2024年三季度末，公司持有二级市场</w:t>
            </w:r>
            <w:proofErr w:type="gramStart"/>
            <w:r w:rsidRPr="00E318AE">
              <w:rPr>
                <w:rFonts w:ascii="宋体" w:eastAsia="宋体" w:hAnsi="宋体" w:hint="eastAsia"/>
                <w:sz w:val="24"/>
                <w:szCs w:val="24"/>
              </w:rPr>
              <w:t>股票金地商置</w:t>
            </w:r>
            <w:proofErr w:type="gramEnd"/>
            <w:r w:rsidRPr="00E318AE">
              <w:rPr>
                <w:rFonts w:ascii="宋体" w:eastAsia="宋体" w:hAnsi="宋体" w:hint="eastAsia"/>
                <w:sz w:val="24"/>
                <w:szCs w:val="24"/>
              </w:rPr>
              <w:t>（00535）期末市值 167,462,619.43 元。</w:t>
            </w:r>
          </w:p>
          <w:p w:rsidR="00E318AE" w:rsidRDefault="00E318AE" w:rsidP="0014055F">
            <w:pPr>
              <w:spacing w:line="360" w:lineRule="exact"/>
              <w:rPr>
                <w:rFonts w:ascii="宋体" w:eastAsia="宋体" w:hAnsi="宋体" w:hint="eastAsia"/>
                <w:b/>
                <w:sz w:val="24"/>
                <w:szCs w:val="24"/>
              </w:rPr>
            </w:pPr>
          </w:p>
          <w:p w:rsidR="00BF483B" w:rsidRDefault="00BF483B" w:rsidP="0014055F">
            <w:pPr>
              <w:spacing w:line="360" w:lineRule="exact"/>
              <w:rPr>
                <w:rFonts w:ascii="宋体" w:eastAsia="宋体" w:hAnsi="宋体" w:hint="eastAsia"/>
                <w:b/>
                <w:sz w:val="24"/>
                <w:szCs w:val="24"/>
              </w:rPr>
            </w:pPr>
            <w:r w:rsidRPr="00BF483B">
              <w:rPr>
                <w:rFonts w:ascii="宋体" w:eastAsia="宋体" w:hAnsi="宋体" w:hint="eastAsia"/>
                <w:b/>
                <w:sz w:val="24"/>
                <w:szCs w:val="24"/>
              </w:rPr>
              <w:t>问题二：</w:t>
            </w:r>
          </w:p>
          <w:p w:rsidR="00E318AE" w:rsidRPr="00E318AE" w:rsidRDefault="00E318AE" w:rsidP="00E318AE">
            <w:pPr>
              <w:spacing w:line="360" w:lineRule="exact"/>
              <w:ind w:firstLineChars="200" w:firstLine="480"/>
              <w:rPr>
                <w:rFonts w:ascii="宋体" w:eastAsia="宋体" w:hAnsi="宋体"/>
                <w:sz w:val="24"/>
                <w:szCs w:val="24"/>
              </w:rPr>
            </w:pPr>
            <w:r w:rsidRPr="00E318AE">
              <w:rPr>
                <w:rFonts w:ascii="宋体" w:eastAsia="宋体" w:hAnsi="宋体" w:hint="eastAsia"/>
                <w:sz w:val="24"/>
                <w:szCs w:val="24"/>
              </w:rPr>
              <w:t>公司第三季度净利润上涨很高，这是因为持有二级市场股票上升所致，但二级市场的变化很快，公司如何为投资者提供恒定的利润来源？</w:t>
            </w:r>
          </w:p>
          <w:p w:rsidR="00BF483B" w:rsidRDefault="00BF483B" w:rsidP="0014055F">
            <w:pPr>
              <w:spacing w:line="360" w:lineRule="exact"/>
              <w:rPr>
                <w:rFonts w:ascii="宋体" w:eastAsia="宋体" w:hAnsi="宋体" w:hint="eastAsia"/>
                <w:b/>
                <w:sz w:val="24"/>
                <w:szCs w:val="24"/>
              </w:rPr>
            </w:pPr>
            <w:r w:rsidRPr="00BF483B">
              <w:rPr>
                <w:rFonts w:ascii="宋体" w:eastAsia="宋体" w:hAnsi="宋体" w:hint="eastAsia"/>
                <w:b/>
                <w:sz w:val="24"/>
                <w:szCs w:val="24"/>
              </w:rPr>
              <w:t>答复：</w:t>
            </w:r>
          </w:p>
          <w:p w:rsidR="00E318AE" w:rsidRPr="00E318AE" w:rsidRDefault="00E318AE" w:rsidP="00E318AE">
            <w:pPr>
              <w:spacing w:line="360" w:lineRule="exact"/>
              <w:ind w:firstLineChars="200" w:firstLine="480"/>
              <w:rPr>
                <w:rFonts w:ascii="宋体" w:eastAsia="宋体" w:hAnsi="宋体"/>
                <w:sz w:val="24"/>
                <w:szCs w:val="24"/>
              </w:rPr>
            </w:pPr>
            <w:r w:rsidRPr="00E318AE">
              <w:rPr>
                <w:rFonts w:ascii="宋体" w:eastAsia="宋体" w:hAnsi="宋体" w:hint="eastAsia"/>
                <w:sz w:val="24"/>
                <w:szCs w:val="24"/>
              </w:rPr>
              <w:t>尊敬的投资者您好，自 2008 年起公司将杭州百货大楼等百货业资产委托给浙江银泰百货有限公司经营管理 20 年，每年可获得相对稳定的委托经营利润，受行业环境波动影响较低。杭州百货大楼的商品销售以联营模式为主，辅之少量经销、代销模式，是公司最主要的收入来源。</w:t>
            </w:r>
          </w:p>
          <w:p w:rsidR="00BF483B" w:rsidRDefault="00BF483B" w:rsidP="0014055F">
            <w:pPr>
              <w:spacing w:line="360" w:lineRule="exact"/>
              <w:rPr>
                <w:rFonts w:ascii="宋体" w:eastAsia="宋体" w:hAnsi="宋体" w:hint="eastAsia"/>
                <w:b/>
                <w:sz w:val="24"/>
                <w:szCs w:val="24"/>
              </w:rPr>
            </w:pPr>
            <w:r w:rsidRPr="00BF483B">
              <w:rPr>
                <w:rFonts w:ascii="宋体" w:eastAsia="宋体" w:hAnsi="宋体" w:hint="eastAsia"/>
                <w:b/>
                <w:sz w:val="24"/>
                <w:szCs w:val="24"/>
              </w:rPr>
              <w:lastRenderedPageBreak/>
              <w:t>问题三：</w:t>
            </w:r>
          </w:p>
          <w:p w:rsidR="00A72400" w:rsidRPr="00A72400" w:rsidRDefault="00A72400" w:rsidP="00A72400">
            <w:pPr>
              <w:spacing w:line="360" w:lineRule="exact"/>
              <w:ind w:firstLineChars="200" w:firstLine="480"/>
              <w:rPr>
                <w:rFonts w:ascii="宋体" w:eastAsia="宋体" w:hAnsi="宋体"/>
                <w:sz w:val="24"/>
                <w:szCs w:val="24"/>
              </w:rPr>
            </w:pPr>
            <w:r w:rsidRPr="00A72400">
              <w:rPr>
                <w:rFonts w:ascii="宋体" w:eastAsia="宋体" w:hAnsi="宋体" w:hint="eastAsia"/>
                <w:sz w:val="24"/>
                <w:szCs w:val="24"/>
              </w:rPr>
              <w:t>公司之前公开表示，产业投资上着重于寻找合适的并购标的，是否有合适的标的，公司选择的标准是什么？</w:t>
            </w:r>
          </w:p>
          <w:p w:rsidR="00CA2489" w:rsidRDefault="00CA2489" w:rsidP="0014055F">
            <w:pPr>
              <w:spacing w:line="360" w:lineRule="exact"/>
              <w:rPr>
                <w:rFonts w:ascii="宋体" w:eastAsia="宋体" w:hAnsi="宋体"/>
                <w:b/>
                <w:sz w:val="24"/>
                <w:szCs w:val="24"/>
              </w:rPr>
            </w:pPr>
            <w:r w:rsidRPr="00CA2489">
              <w:rPr>
                <w:rFonts w:ascii="宋体" w:eastAsia="宋体" w:hAnsi="宋体" w:hint="eastAsia"/>
                <w:b/>
                <w:sz w:val="24"/>
                <w:szCs w:val="24"/>
              </w:rPr>
              <w:t>答复：</w:t>
            </w:r>
          </w:p>
          <w:p w:rsidR="0014055F" w:rsidRDefault="00A72400" w:rsidP="00A72400">
            <w:pPr>
              <w:spacing w:line="360" w:lineRule="exact"/>
              <w:ind w:firstLineChars="200" w:firstLine="480"/>
              <w:rPr>
                <w:rFonts w:ascii="宋体" w:eastAsia="宋体" w:hAnsi="宋体" w:hint="eastAsia"/>
                <w:sz w:val="24"/>
                <w:szCs w:val="24"/>
              </w:rPr>
            </w:pPr>
            <w:r w:rsidRPr="00A72400">
              <w:rPr>
                <w:rFonts w:ascii="宋体" w:eastAsia="宋体" w:hAnsi="宋体" w:hint="eastAsia"/>
                <w:sz w:val="24"/>
                <w:szCs w:val="24"/>
              </w:rPr>
              <w:t>尊敬的投资者您好，近年来公司累计投资四支私</w:t>
            </w:r>
            <w:proofErr w:type="gramStart"/>
            <w:r w:rsidRPr="00A72400">
              <w:rPr>
                <w:rFonts w:ascii="宋体" w:eastAsia="宋体" w:hAnsi="宋体" w:hint="eastAsia"/>
                <w:sz w:val="24"/>
                <w:szCs w:val="24"/>
              </w:rPr>
              <w:t>募股权基金</w:t>
            </w:r>
            <w:proofErr w:type="gramEnd"/>
            <w:r w:rsidRPr="00A72400">
              <w:rPr>
                <w:rFonts w:ascii="宋体" w:eastAsia="宋体" w:hAnsi="宋体" w:hint="eastAsia"/>
                <w:sz w:val="24"/>
                <w:szCs w:val="24"/>
              </w:rPr>
              <w:t>，合计认缴 1.4 亿元，实际已出资 1.1 亿元。该等基金投向智能制造、医疗健康、数字经济等领域，公司积累了一定的财务投资经验。在产业投资方面，公司同样聚焦大消费、大健康、高端制造等行业，着重于寻找合适的并购标的，迄今尚未有实质性项目落地。</w:t>
            </w:r>
          </w:p>
          <w:p w:rsidR="00A72400" w:rsidRDefault="00A72400" w:rsidP="00E318AE">
            <w:pPr>
              <w:spacing w:line="360" w:lineRule="exact"/>
              <w:rPr>
                <w:rFonts w:ascii="宋体" w:eastAsia="宋体" w:hAnsi="宋体" w:hint="eastAsia"/>
                <w:b/>
                <w:sz w:val="24"/>
                <w:szCs w:val="24"/>
              </w:rPr>
            </w:pPr>
          </w:p>
          <w:p w:rsidR="00E318AE" w:rsidRDefault="00E318AE" w:rsidP="00E318AE">
            <w:pPr>
              <w:spacing w:line="360" w:lineRule="exact"/>
              <w:rPr>
                <w:rFonts w:ascii="宋体" w:eastAsia="宋体" w:hAnsi="宋体" w:hint="eastAsia"/>
                <w:b/>
                <w:sz w:val="24"/>
                <w:szCs w:val="24"/>
              </w:rPr>
            </w:pPr>
            <w:r w:rsidRPr="00BF483B">
              <w:rPr>
                <w:rFonts w:ascii="宋体" w:eastAsia="宋体" w:hAnsi="宋体" w:hint="eastAsia"/>
                <w:b/>
                <w:sz w:val="24"/>
                <w:szCs w:val="24"/>
              </w:rPr>
              <w:t>问题</w:t>
            </w:r>
            <w:r>
              <w:rPr>
                <w:rFonts w:ascii="宋体" w:eastAsia="宋体" w:hAnsi="宋体" w:hint="eastAsia"/>
                <w:b/>
                <w:sz w:val="24"/>
                <w:szCs w:val="24"/>
              </w:rPr>
              <w:t>四</w:t>
            </w:r>
            <w:r w:rsidRPr="00BF483B">
              <w:rPr>
                <w:rFonts w:ascii="宋体" w:eastAsia="宋体" w:hAnsi="宋体" w:hint="eastAsia"/>
                <w:b/>
                <w:sz w:val="24"/>
                <w:szCs w:val="24"/>
              </w:rPr>
              <w:t>：</w:t>
            </w:r>
          </w:p>
          <w:p w:rsidR="00A72400" w:rsidRPr="00A72400" w:rsidRDefault="00A72400" w:rsidP="00A72400">
            <w:pPr>
              <w:spacing w:line="360" w:lineRule="exact"/>
              <w:ind w:firstLineChars="200" w:firstLine="480"/>
              <w:rPr>
                <w:rFonts w:ascii="宋体" w:eastAsia="宋体" w:hAnsi="宋体"/>
                <w:sz w:val="24"/>
                <w:szCs w:val="24"/>
              </w:rPr>
            </w:pPr>
            <w:r w:rsidRPr="00A72400">
              <w:rPr>
                <w:rFonts w:ascii="宋体" w:eastAsia="宋体" w:hAnsi="宋体" w:hint="eastAsia"/>
                <w:sz w:val="24"/>
                <w:szCs w:val="24"/>
              </w:rPr>
              <w:t>公司有什么计划回报投资者么？</w:t>
            </w:r>
          </w:p>
          <w:p w:rsidR="00E318AE" w:rsidRDefault="00E318AE" w:rsidP="00E318AE">
            <w:pPr>
              <w:spacing w:line="360" w:lineRule="exact"/>
              <w:rPr>
                <w:rFonts w:ascii="宋体" w:eastAsia="宋体" w:hAnsi="宋体"/>
                <w:b/>
                <w:sz w:val="24"/>
                <w:szCs w:val="24"/>
              </w:rPr>
            </w:pPr>
            <w:r w:rsidRPr="00CA2489">
              <w:rPr>
                <w:rFonts w:ascii="宋体" w:eastAsia="宋体" w:hAnsi="宋体" w:hint="eastAsia"/>
                <w:b/>
                <w:sz w:val="24"/>
                <w:szCs w:val="24"/>
              </w:rPr>
              <w:t>答复：</w:t>
            </w:r>
          </w:p>
          <w:p w:rsidR="00E318AE" w:rsidRDefault="00A72400" w:rsidP="00A72400">
            <w:pPr>
              <w:spacing w:line="360" w:lineRule="exact"/>
              <w:ind w:firstLineChars="200" w:firstLine="480"/>
              <w:rPr>
                <w:rFonts w:ascii="宋体" w:eastAsia="宋体" w:hAnsi="宋体" w:hint="eastAsia"/>
                <w:sz w:val="24"/>
                <w:szCs w:val="24"/>
              </w:rPr>
            </w:pPr>
            <w:r w:rsidRPr="00A72400">
              <w:rPr>
                <w:rFonts w:ascii="宋体" w:eastAsia="宋体" w:hAnsi="宋体" w:hint="eastAsia"/>
                <w:sz w:val="24"/>
                <w:szCs w:val="24"/>
              </w:rPr>
              <w:t>尊敬的投资者您好，公司将秉持“稳中求进”的原则，对原有业务持续优化调整完善，发挥现有固定资产价值，广泛寻求合作，以保证传统业务板块收入和盈利水平。并且，公司富余资金累积较多，公司在坚持“统一管理、规范运作、谨慎决策、防范风险”的基础上，力争获得满意的理财回报。公司将根据资金情况，适时分红，保障公司股东利益。此外，公司长期看好国家发展，将持续投入适度资源，寻求新的发展机会，争取发现新的盈利增长点。</w:t>
            </w:r>
          </w:p>
          <w:p w:rsidR="00A72400" w:rsidRDefault="00A72400" w:rsidP="00E318AE">
            <w:pPr>
              <w:spacing w:line="360" w:lineRule="exact"/>
              <w:rPr>
                <w:rFonts w:ascii="宋体" w:eastAsia="宋体" w:hAnsi="宋体" w:hint="eastAsia"/>
                <w:b/>
                <w:sz w:val="24"/>
                <w:szCs w:val="24"/>
              </w:rPr>
            </w:pPr>
          </w:p>
          <w:p w:rsidR="00E318AE" w:rsidRDefault="00E318AE" w:rsidP="00E318AE">
            <w:pPr>
              <w:spacing w:line="360" w:lineRule="exact"/>
              <w:rPr>
                <w:rFonts w:ascii="宋体" w:eastAsia="宋体" w:hAnsi="宋体" w:hint="eastAsia"/>
                <w:b/>
                <w:sz w:val="24"/>
                <w:szCs w:val="24"/>
              </w:rPr>
            </w:pPr>
            <w:r w:rsidRPr="00BF483B">
              <w:rPr>
                <w:rFonts w:ascii="宋体" w:eastAsia="宋体" w:hAnsi="宋体" w:hint="eastAsia"/>
                <w:b/>
                <w:sz w:val="24"/>
                <w:szCs w:val="24"/>
              </w:rPr>
              <w:t>问题</w:t>
            </w:r>
            <w:r>
              <w:rPr>
                <w:rFonts w:ascii="宋体" w:eastAsia="宋体" w:hAnsi="宋体" w:hint="eastAsia"/>
                <w:b/>
                <w:sz w:val="24"/>
                <w:szCs w:val="24"/>
              </w:rPr>
              <w:t>五</w:t>
            </w:r>
            <w:r w:rsidRPr="00BF483B">
              <w:rPr>
                <w:rFonts w:ascii="宋体" w:eastAsia="宋体" w:hAnsi="宋体" w:hint="eastAsia"/>
                <w:b/>
                <w:sz w:val="24"/>
                <w:szCs w:val="24"/>
              </w:rPr>
              <w:t>：</w:t>
            </w:r>
          </w:p>
          <w:p w:rsidR="00A72400" w:rsidRPr="00A72400" w:rsidRDefault="00A72400" w:rsidP="00A72400">
            <w:pPr>
              <w:spacing w:line="360" w:lineRule="exact"/>
              <w:ind w:firstLineChars="200" w:firstLine="480"/>
              <w:rPr>
                <w:rFonts w:ascii="宋体" w:eastAsia="宋体" w:hAnsi="宋体"/>
                <w:sz w:val="24"/>
                <w:szCs w:val="24"/>
              </w:rPr>
            </w:pPr>
            <w:r w:rsidRPr="00A72400">
              <w:rPr>
                <w:rFonts w:ascii="宋体" w:eastAsia="宋体" w:hAnsi="宋体" w:hint="eastAsia"/>
                <w:sz w:val="24"/>
                <w:szCs w:val="24"/>
              </w:rPr>
              <w:t>目前零售行业面临的经营压力比较大，杭州百货大楼采取了哪些措施来促进消费，吸引消费者？</w:t>
            </w:r>
          </w:p>
          <w:p w:rsidR="00E318AE" w:rsidRDefault="00E318AE" w:rsidP="00E318AE">
            <w:pPr>
              <w:spacing w:line="360" w:lineRule="exact"/>
              <w:rPr>
                <w:rFonts w:ascii="宋体" w:eastAsia="宋体" w:hAnsi="宋体"/>
                <w:b/>
                <w:sz w:val="24"/>
                <w:szCs w:val="24"/>
              </w:rPr>
            </w:pPr>
            <w:r w:rsidRPr="00CA2489">
              <w:rPr>
                <w:rFonts w:ascii="宋体" w:eastAsia="宋体" w:hAnsi="宋体" w:hint="eastAsia"/>
                <w:b/>
                <w:sz w:val="24"/>
                <w:szCs w:val="24"/>
              </w:rPr>
              <w:t>答复：</w:t>
            </w:r>
          </w:p>
          <w:p w:rsidR="00E318AE" w:rsidRDefault="00A72400" w:rsidP="00A72400">
            <w:pPr>
              <w:spacing w:line="360" w:lineRule="exact"/>
              <w:ind w:firstLineChars="200" w:firstLine="480"/>
              <w:rPr>
                <w:rFonts w:ascii="宋体" w:eastAsia="宋体" w:hAnsi="宋体" w:hint="eastAsia"/>
                <w:sz w:val="24"/>
                <w:szCs w:val="24"/>
              </w:rPr>
            </w:pPr>
            <w:r w:rsidRPr="00A72400">
              <w:rPr>
                <w:rFonts w:ascii="宋体" w:eastAsia="宋体" w:hAnsi="宋体" w:hint="eastAsia"/>
                <w:sz w:val="24"/>
                <w:szCs w:val="24"/>
              </w:rPr>
              <w:t>尊敬的投资者您好，自 2008 年起公司将杭州百货大楼等百货业资产委托给浙江银泰百货有限公司经营管理 20 年，每年可获得相对稳定的委托经营利润，受行业环境波动影响较低。合作方银泰通过加大对门店的调改、打造差异化服务来提升购物体验，增设大型 IP 和品牌的联名活动等来吸引客流、提升消费。同时通过强化商品经营水平，打造全域经营能力来达成业绩，公司做好相应的服务配套工作。</w:t>
            </w:r>
          </w:p>
          <w:p w:rsidR="00E414CB" w:rsidRPr="0014055F" w:rsidRDefault="00E414CB" w:rsidP="00A72400">
            <w:pPr>
              <w:spacing w:line="360" w:lineRule="exact"/>
              <w:ind w:firstLineChars="200" w:firstLine="480"/>
              <w:rPr>
                <w:rFonts w:ascii="宋体" w:eastAsia="宋体" w:hAnsi="宋体"/>
                <w:sz w:val="24"/>
                <w:szCs w:val="24"/>
              </w:rPr>
            </w:pPr>
            <w:bookmarkStart w:id="0" w:name="_GoBack"/>
            <w:bookmarkEnd w:id="0"/>
          </w:p>
        </w:tc>
      </w:tr>
    </w:tbl>
    <w:p w:rsidR="00A40387" w:rsidRDefault="00A40387"/>
    <w:sectPr w:rsidR="00A40387" w:rsidSect="00A40387">
      <w:footerReference w:type="default" r:id="rId7"/>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EAB" w:rsidRDefault="001D4EAB" w:rsidP="00AF25A2">
      <w:r>
        <w:separator/>
      </w:r>
    </w:p>
  </w:endnote>
  <w:endnote w:type="continuationSeparator" w:id="0">
    <w:p w:rsidR="001D4EAB" w:rsidRDefault="001D4EAB" w:rsidP="00AF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543344"/>
      <w:docPartObj>
        <w:docPartGallery w:val="Page Numbers (Bottom of Page)"/>
        <w:docPartUnique/>
      </w:docPartObj>
    </w:sdtPr>
    <w:sdtEndPr/>
    <w:sdtContent>
      <w:sdt>
        <w:sdtPr>
          <w:id w:val="860082579"/>
          <w:docPartObj>
            <w:docPartGallery w:val="Page Numbers (Top of Page)"/>
            <w:docPartUnique/>
          </w:docPartObj>
        </w:sdtPr>
        <w:sdtEndPr/>
        <w:sdtContent>
          <w:p w:rsidR="003A106E" w:rsidRDefault="003A106E">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E414CB">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414CB">
              <w:rPr>
                <w:b/>
                <w:bCs/>
                <w:noProof/>
              </w:rPr>
              <w:t>2</w:t>
            </w:r>
            <w:r>
              <w:rPr>
                <w:b/>
                <w:bCs/>
                <w:sz w:val="24"/>
                <w:szCs w:val="24"/>
              </w:rPr>
              <w:fldChar w:fldCharType="end"/>
            </w:r>
          </w:p>
        </w:sdtContent>
      </w:sdt>
    </w:sdtContent>
  </w:sdt>
  <w:p w:rsidR="003A106E" w:rsidRDefault="003A10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EAB" w:rsidRDefault="001D4EAB" w:rsidP="00AF25A2">
      <w:r>
        <w:separator/>
      </w:r>
    </w:p>
  </w:footnote>
  <w:footnote w:type="continuationSeparator" w:id="0">
    <w:p w:rsidR="001D4EAB" w:rsidRDefault="001D4EAB" w:rsidP="00AF2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87"/>
    <w:rsid w:val="00016459"/>
    <w:rsid w:val="00020386"/>
    <w:rsid w:val="00041F35"/>
    <w:rsid w:val="00056333"/>
    <w:rsid w:val="00095194"/>
    <w:rsid w:val="000A0ECC"/>
    <w:rsid w:val="000A3BB2"/>
    <w:rsid w:val="000C0FB7"/>
    <w:rsid w:val="000E0D2E"/>
    <w:rsid w:val="000E5ADF"/>
    <w:rsid w:val="000E62B0"/>
    <w:rsid w:val="0014055F"/>
    <w:rsid w:val="00166AC0"/>
    <w:rsid w:val="0019071F"/>
    <w:rsid w:val="001A7040"/>
    <w:rsid w:val="001D4EAB"/>
    <w:rsid w:val="001D5CB8"/>
    <w:rsid w:val="00223B71"/>
    <w:rsid w:val="00263B4F"/>
    <w:rsid w:val="0027517D"/>
    <w:rsid w:val="002B24E0"/>
    <w:rsid w:val="002B2853"/>
    <w:rsid w:val="002B5713"/>
    <w:rsid w:val="0032077D"/>
    <w:rsid w:val="003A106E"/>
    <w:rsid w:val="003A49BD"/>
    <w:rsid w:val="00431BDD"/>
    <w:rsid w:val="00483481"/>
    <w:rsid w:val="004C3FF3"/>
    <w:rsid w:val="004F4805"/>
    <w:rsid w:val="00584C12"/>
    <w:rsid w:val="005A0E5F"/>
    <w:rsid w:val="005D0270"/>
    <w:rsid w:val="005F1575"/>
    <w:rsid w:val="006510DC"/>
    <w:rsid w:val="006F2F92"/>
    <w:rsid w:val="0070093C"/>
    <w:rsid w:val="00725886"/>
    <w:rsid w:val="007A1203"/>
    <w:rsid w:val="007A508E"/>
    <w:rsid w:val="0080692F"/>
    <w:rsid w:val="00813A0E"/>
    <w:rsid w:val="008D5239"/>
    <w:rsid w:val="009072D1"/>
    <w:rsid w:val="00941B67"/>
    <w:rsid w:val="00995266"/>
    <w:rsid w:val="009D3E97"/>
    <w:rsid w:val="00A40387"/>
    <w:rsid w:val="00A67E37"/>
    <w:rsid w:val="00A72400"/>
    <w:rsid w:val="00A84E34"/>
    <w:rsid w:val="00AA2C75"/>
    <w:rsid w:val="00AB4B5E"/>
    <w:rsid w:val="00AE493F"/>
    <w:rsid w:val="00AF25A2"/>
    <w:rsid w:val="00AF7794"/>
    <w:rsid w:val="00B27539"/>
    <w:rsid w:val="00B54B76"/>
    <w:rsid w:val="00B8434A"/>
    <w:rsid w:val="00BA6F02"/>
    <w:rsid w:val="00BF36DB"/>
    <w:rsid w:val="00BF483B"/>
    <w:rsid w:val="00CA2489"/>
    <w:rsid w:val="00CD4A60"/>
    <w:rsid w:val="00CD4C3A"/>
    <w:rsid w:val="00CF733F"/>
    <w:rsid w:val="00D114B7"/>
    <w:rsid w:val="00D848BA"/>
    <w:rsid w:val="00D927CC"/>
    <w:rsid w:val="00DB065F"/>
    <w:rsid w:val="00DC192A"/>
    <w:rsid w:val="00E11755"/>
    <w:rsid w:val="00E1671D"/>
    <w:rsid w:val="00E318AE"/>
    <w:rsid w:val="00E414CB"/>
    <w:rsid w:val="00EC63FF"/>
    <w:rsid w:val="00ED4758"/>
    <w:rsid w:val="00EF5CA4"/>
    <w:rsid w:val="00F32C4D"/>
    <w:rsid w:val="00F66874"/>
    <w:rsid w:val="00F75299"/>
    <w:rsid w:val="00FD6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8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0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F25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F25A2"/>
    <w:rPr>
      <w:sz w:val="18"/>
      <w:szCs w:val="18"/>
    </w:rPr>
  </w:style>
  <w:style w:type="paragraph" w:styleId="a5">
    <w:name w:val="footer"/>
    <w:basedOn w:val="a"/>
    <w:link w:val="Char0"/>
    <w:uiPriority w:val="99"/>
    <w:unhideWhenUsed/>
    <w:rsid w:val="00AF25A2"/>
    <w:pPr>
      <w:tabs>
        <w:tab w:val="center" w:pos="4153"/>
        <w:tab w:val="right" w:pos="8306"/>
      </w:tabs>
      <w:snapToGrid w:val="0"/>
      <w:jc w:val="left"/>
    </w:pPr>
    <w:rPr>
      <w:sz w:val="18"/>
      <w:szCs w:val="18"/>
    </w:rPr>
  </w:style>
  <w:style w:type="character" w:customStyle="1" w:styleId="Char0">
    <w:name w:val="页脚 Char"/>
    <w:basedOn w:val="a0"/>
    <w:link w:val="a5"/>
    <w:uiPriority w:val="99"/>
    <w:rsid w:val="00AF25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8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0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F25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F25A2"/>
    <w:rPr>
      <w:sz w:val="18"/>
      <w:szCs w:val="18"/>
    </w:rPr>
  </w:style>
  <w:style w:type="paragraph" w:styleId="a5">
    <w:name w:val="footer"/>
    <w:basedOn w:val="a"/>
    <w:link w:val="Char0"/>
    <w:uiPriority w:val="99"/>
    <w:unhideWhenUsed/>
    <w:rsid w:val="00AF25A2"/>
    <w:pPr>
      <w:tabs>
        <w:tab w:val="center" w:pos="4153"/>
        <w:tab w:val="right" w:pos="8306"/>
      </w:tabs>
      <w:snapToGrid w:val="0"/>
      <w:jc w:val="left"/>
    </w:pPr>
    <w:rPr>
      <w:sz w:val="18"/>
      <w:szCs w:val="18"/>
    </w:rPr>
  </w:style>
  <w:style w:type="character" w:customStyle="1" w:styleId="Char0">
    <w:name w:val="页脚 Char"/>
    <w:basedOn w:val="a0"/>
    <w:link w:val="a5"/>
    <w:uiPriority w:val="99"/>
    <w:rsid w:val="00AF25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dc:creator>
  <cp:lastModifiedBy>lenovo</cp:lastModifiedBy>
  <cp:revision>38</cp:revision>
  <cp:lastPrinted>2023-08-23T07:23:00Z</cp:lastPrinted>
  <dcterms:created xsi:type="dcterms:W3CDTF">2022-04-25T06:28:00Z</dcterms:created>
  <dcterms:modified xsi:type="dcterms:W3CDTF">2024-11-12T06:26:00Z</dcterms:modified>
</cp:coreProperties>
</file>