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lang w:val="en-US"/>
        </w:rPr>
        <w:t>186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36"/>
          <w:highlight w:val="none"/>
          <w:lang w:val="en-US" w:eastAsia="zh-CN"/>
        </w:rPr>
        <w:t>广东文科绿色科技股份有限公司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  <w:t>潘肇英、李从文、聂勇、程玉姣、莫静怡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采取出具警示函措施的决定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广东文科绿色科技股份有限公司、潘肇英、李从文、聂勇、程玉姣、莫静怡：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经查，广东文科绿色科技股份有限公司（以下简称文科股份或公司）存在以下违规问题：</w:t>
      </w:r>
    </w:p>
    <w:p>
      <w:pPr>
        <w:widowControl w:val="0"/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36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一、信用减值损失会计处理不恰当。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2023年底，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文科股份在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评估信用减值损失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时，一是未按照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抵债房产的可回收金额评估相关减值损失，少计减值损失156.7万元；二是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按单项重大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风险对已逾期的、信用风险显著增加的应收款项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行减值测试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，少计减值损失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291万元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，两者共同导致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2023年年报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多计利润总额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447.7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上述情形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符合《上市公司信息披露管理办法》(证监会令第182号，以下简称《信息披露管理办法》)第三条第一款、《企业会计准则第23号——金融资产转移》第五条和第六条第一款、《企业会计准则第22号——金融工具确认和计量》第四十八条第五款和第五十三条的规定。</w:t>
      </w:r>
    </w:p>
    <w:p>
      <w:pPr>
        <w:widowControl w:val="0"/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36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二、2023年一季度报告存在差错。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经查，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文科股份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于2023年3月对某景观工程（标段二）确认收入1101万元，但公司4月初才收到第三方确认的产值进度确认资料，上述情形不符合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文科股份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态工程施工收入确认政策，导致公司2023年一季度报告多计收入1101万元，多计利润152万元，上述情形不符合《信息披露管理办法》第三条第一款、《企业会计准则--基本准则》第十九条、《企业会计准则第14号——收入》第四条第一款的规定。</w:t>
      </w:r>
    </w:p>
    <w:p>
      <w:pPr>
        <w:widowControl w:val="0"/>
        <w:numPr>
          <w:ilvl w:val="-1"/>
          <w:numId w:val="0"/>
        </w:numPr>
        <w:wordWrap/>
        <w:overflowPunct w:val="0"/>
        <w:adjustRightInd/>
        <w:snapToGrid w:val="0"/>
        <w:spacing w:beforeLines="0" w:afterLines="0" w:line="336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三、公司股份回购管理不规范。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文科股份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2018年8月31日至2019年2月1日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实施股份回购计划，累计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回购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股份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9,585,832股，用于可转债转股。回购股票已于2022年1月31日届满三年期限，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9,43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304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股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未使用也未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14:textFill>
            <w14:solidFill>
              <w14:schemeClr w14:val="tx1"/>
            </w14:solidFill>
          </w14:textFill>
        </w:rPr>
        <w:t>注销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，但公司迟至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2024年7月才发布回购注销减资公告。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上述情形不符合《上市公司股份回购规则》（证监会公告〔202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号）第三条第二款和第十五条、《上市公司股份回购规则》（证监会公告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〔2023〕63号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）第三条第二款、第十七条的规定。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文科股份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董事长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潘肇英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，总经理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李从文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，财务总监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聂勇、时任董事会秘书程玉姣、董事会秘书莫静怡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未能按照《上市公司信息披露管理办法》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（证监会令第182号）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第四条的规定履行勤勉尽责义务，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对公司相关违规行为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负有主要责任，其中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潘肇英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李从文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聂勇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对公司全部违规行为负有主要责任,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程玉姣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、莫静怡对公司第三项违规行为负有主要责任。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根据</w:t>
      </w:r>
      <w:r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-SA"/>
        </w:rPr>
        <w:t>上市公司</w:t>
      </w:r>
      <w:r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-SA"/>
        </w:rPr>
        <w:t>信息披露管理办法》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（证监会令第182号）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第五十二条、《上市公司股份回购规则》（证监会公告〔2022〕4号）第三十六条、</w:t>
      </w:r>
      <w:r>
        <w:rPr>
          <w:rFonts w:hint="eastAsia" w:ascii="仿宋_GB2312" w:eastAsia="仿宋_GB2312" w:hAnsiTheme="minorEastAsia"/>
          <w:sz w:val="32"/>
          <w:szCs w:val="36"/>
          <w:highlight w:val="none"/>
          <w:lang w:eastAsia="zh-CN"/>
        </w:rPr>
        <w:t>《上市公司股份回购规则》（证监会公告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〔2023〕63号</w:t>
      </w:r>
      <w:r>
        <w:rPr>
          <w:rFonts w:hint="eastAsia" w:ascii="仿宋_GB2312" w:eastAsia="仿宋_GB2312" w:hAnsiTheme="minorEastAsia"/>
          <w:sz w:val="32"/>
          <w:szCs w:val="36"/>
          <w:highlight w:val="none"/>
          <w:lang w:eastAsia="zh-CN"/>
        </w:rPr>
        <w:t>）第三十七条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的规定，我局决定对文科股份、潘肇英、李从文、聂勇、程玉姣、莫静怡采取出具警示函的行政监管措施。你们应加强对企业会计准则、证券法律法规的学习，强化公司会计核算工作，依法真实、准确、完整、及时、公平地履行信息披露义务，于收到本决定书30日内向我局报送整改情况报告，并抄报深圳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如果对本监督管理措施不服，可以在收到本决定书之日起60日内向中国证券监督管理委员会提出行政复议申请,也可以在收到本决定书之日起6个月内向有管辖权的人民法院提起诉讼。复议与诉讼期间，上述监督管理措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施不停止执行。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抄送：证监会上市司、法治司；深圳证券交易所</w:t>
      </w:r>
      <w:r>
        <w:rPr>
          <w:rFonts w:hint="eastAsia" w:ascii="仿宋_GB2312" w:eastAsia="仿宋_GB2312"/>
          <w:spacing w:val="8"/>
          <w:sz w:val="28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/>
        </w:rPr>
        <w:t>1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11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overflowPunct w:val="0"/>
        <w:snapToGrid w:val="0"/>
        <w:spacing w:beforeLines="0" w:afterLines="0"/>
        <w:rPr>
          <w:rFonts w:hint="default"/>
          <w:sz w:val="2"/>
          <w:szCs w:val="2"/>
          <w:lang w:val="en-US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CA18F"/>
    <w:rsid w:val="2BD6FC01"/>
    <w:rsid w:val="2BEE77CB"/>
    <w:rsid w:val="2F1E3FC9"/>
    <w:rsid w:val="2F5C6CF7"/>
    <w:rsid w:val="36B3EDA1"/>
    <w:rsid w:val="37F37E13"/>
    <w:rsid w:val="3F5F11CA"/>
    <w:rsid w:val="3F7F3C33"/>
    <w:rsid w:val="3FDDF2DE"/>
    <w:rsid w:val="3FEF5DC3"/>
    <w:rsid w:val="467FD2E3"/>
    <w:rsid w:val="4B9BDEC5"/>
    <w:rsid w:val="4F9C649C"/>
    <w:rsid w:val="4FDCAA19"/>
    <w:rsid w:val="53EF57B4"/>
    <w:rsid w:val="575FAE3F"/>
    <w:rsid w:val="58FBAE80"/>
    <w:rsid w:val="59DF3F8D"/>
    <w:rsid w:val="5E3FF2E7"/>
    <w:rsid w:val="5E4FB9AD"/>
    <w:rsid w:val="6FDF52E2"/>
    <w:rsid w:val="6FFD233B"/>
    <w:rsid w:val="773FE31B"/>
    <w:rsid w:val="7BEB0A10"/>
    <w:rsid w:val="7BFF6ECE"/>
    <w:rsid w:val="7D5D4A03"/>
    <w:rsid w:val="7DA7BD76"/>
    <w:rsid w:val="7EF3FC04"/>
    <w:rsid w:val="7EFF6AAC"/>
    <w:rsid w:val="7F4B13E8"/>
    <w:rsid w:val="7F5FE741"/>
    <w:rsid w:val="7F7D1831"/>
    <w:rsid w:val="7FDBB271"/>
    <w:rsid w:val="7FEF91B0"/>
    <w:rsid w:val="B7BF3A50"/>
    <w:rsid w:val="B7FE0289"/>
    <w:rsid w:val="BB6D1CB4"/>
    <w:rsid w:val="BF7FDE16"/>
    <w:rsid w:val="DDD605A7"/>
    <w:rsid w:val="E7AB51F4"/>
    <w:rsid w:val="E7AD6184"/>
    <w:rsid w:val="EDBDB18B"/>
    <w:rsid w:val="EE4F21A5"/>
    <w:rsid w:val="EF7C1C76"/>
    <w:rsid w:val="F5B9D4D9"/>
    <w:rsid w:val="F5FC55F8"/>
    <w:rsid w:val="F653448A"/>
    <w:rsid w:val="F764B4EB"/>
    <w:rsid w:val="F7FF9ADB"/>
    <w:rsid w:val="FBDCA18F"/>
    <w:rsid w:val="FBDD4DF2"/>
    <w:rsid w:val="FBF7E179"/>
    <w:rsid w:val="FBF978A4"/>
    <w:rsid w:val="FD5CE4D5"/>
    <w:rsid w:val="FEB957AA"/>
    <w:rsid w:val="FEBF250E"/>
    <w:rsid w:val="FF9C3C44"/>
    <w:rsid w:val="FFC7C251"/>
    <w:rsid w:val="FFD4A110"/>
    <w:rsid w:val="FFDA3345"/>
    <w:rsid w:val="FFE5ABCC"/>
    <w:rsid w:val="FFECBBB3"/>
    <w:rsid w:val="FFFE7301"/>
    <w:rsid w:val="FFFFB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1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2024-08-20T05:20:00Z</dcterms:created>
  <dc:creator>黄明辉：主办人改稿</dc:creator>
  <cp:lastModifiedBy>黄明辉</cp:lastModifiedBy>
  <cp:lastPrinted>2024-11-09T10:12:00Z</cp:lastPrinted>
  <dcterms:modified xsi:type="dcterms:W3CDTF">2024-11-13T16:25:09Z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E589CAD752C2189A2BAFBC669205F7B2</vt:lpwstr>
  </property>
</Properties>
</file>