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69FD7" w14:textId="77777777" w:rsidR="008A7010" w:rsidRDefault="00000000">
      <w:pPr>
        <w:pStyle w:val="a3"/>
        <w:tabs>
          <w:tab w:val="left" w:pos="6071"/>
        </w:tabs>
        <w:spacing w:line="360" w:lineRule="auto"/>
        <w:ind w:left="0" w:right="222"/>
        <w:jc w:val="right"/>
        <w:rPr>
          <w:rFonts w:hint="eastAsia"/>
          <w:lang w:eastAsia="zh-CN"/>
        </w:rPr>
      </w:pPr>
      <w:r>
        <w:rPr>
          <w:rFonts w:hint="eastAsia"/>
          <w:lang w:eastAsia="zh-CN"/>
        </w:rPr>
        <w:t>证券代码</w:t>
      </w:r>
      <w:r>
        <w:rPr>
          <w:rFonts w:hint="eastAsia"/>
          <w:spacing w:val="-48"/>
          <w:lang w:eastAsia="zh-CN"/>
        </w:rPr>
        <w:t>：</w:t>
      </w:r>
      <w:r>
        <w:rPr>
          <w:rFonts w:cs="宋体" w:hint="eastAsia"/>
          <w:lang w:eastAsia="zh-CN"/>
        </w:rPr>
        <w:t>600061</w:t>
      </w:r>
      <w:r>
        <w:rPr>
          <w:rFonts w:cs="宋体"/>
          <w:lang w:eastAsia="zh-CN"/>
        </w:rPr>
        <w:t xml:space="preserve">                                  </w:t>
      </w:r>
      <w:r>
        <w:rPr>
          <w:rFonts w:hint="eastAsia"/>
          <w:lang w:eastAsia="zh-CN"/>
        </w:rPr>
        <w:t>证券简称</w:t>
      </w:r>
      <w:r>
        <w:rPr>
          <w:rFonts w:hint="eastAsia"/>
          <w:spacing w:val="-48"/>
          <w:lang w:eastAsia="zh-CN"/>
        </w:rPr>
        <w:t>：</w:t>
      </w:r>
      <w:r>
        <w:rPr>
          <w:rFonts w:hint="eastAsia"/>
          <w:lang w:eastAsia="zh-CN"/>
        </w:rPr>
        <w:t>国投资本</w:t>
      </w:r>
    </w:p>
    <w:p w14:paraId="403ED851" w14:textId="77777777" w:rsidR="008A7010" w:rsidRDefault="008A7010">
      <w:pPr>
        <w:spacing w:line="360" w:lineRule="auto"/>
        <w:rPr>
          <w:rFonts w:hint="eastAsia"/>
          <w:sz w:val="20"/>
          <w:szCs w:val="20"/>
          <w:lang w:eastAsia="zh-CN"/>
        </w:rPr>
      </w:pPr>
    </w:p>
    <w:p w14:paraId="45FD73C4" w14:textId="77777777" w:rsidR="008A7010" w:rsidRDefault="00000000">
      <w:pPr>
        <w:spacing w:line="360" w:lineRule="auto"/>
        <w:jc w:val="center"/>
        <w:rPr>
          <w:rFonts w:ascii="宋体" w:eastAsia="宋体" w:hAnsi="宋体" w:cs="宋体" w:hint="eastAsia"/>
          <w:sz w:val="32"/>
          <w:szCs w:val="32"/>
          <w:lang w:eastAsia="zh-CN"/>
        </w:rPr>
      </w:pPr>
      <w:r>
        <w:rPr>
          <w:rFonts w:ascii="宋体" w:eastAsia="宋体" w:hAnsi="宋体" w:cs="宋体" w:hint="eastAsia"/>
          <w:spacing w:val="2"/>
          <w:sz w:val="32"/>
          <w:szCs w:val="32"/>
          <w:lang w:eastAsia="zh-CN"/>
        </w:rPr>
        <w:t>国投资本股份</w:t>
      </w:r>
      <w:r>
        <w:rPr>
          <w:rFonts w:ascii="宋体" w:eastAsia="宋体" w:hAnsi="宋体" w:cs="宋体" w:hint="eastAsia"/>
          <w:sz w:val="32"/>
          <w:szCs w:val="32"/>
          <w:lang w:eastAsia="zh-CN"/>
        </w:rPr>
        <w:t>有</w:t>
      </w:r>
      <w:r>
        <w:rPr>
          <w:rFonts w:ascii="宋体" w:eastAsia="宋体" w:hAnsi="宋体" w:cs="宋体" w:hint="eastAsia"/>
          <w:spacing w:val="2"/>
          <w:sz w:val="32"/>
          <w:szCs w:val="32"/>
          <w:lang w:eastAsia="zh-CN"/>
        </w:rPr>
        <w:t>限公司投资者</w:t>
      </w:r>
      <w:r>
        <w:rPr>
          <w:rFonts w:ascii="宋体" w:eastAsia="宋体" w:hAnsi="宋体" w:cs="宋体" w:hint="eastAsia"/>
          <w:sz w:val="32"/>
          <w:szCs w:val="32"/>
          <w:lang w:eastAsia="zh-CN"/>
        </w:rPr>
        <w:t>关</w:t>
      </w:r>
      <w:r>
        <w:rPr>
          <w:rFonts w:ascii="宋体" w:eastAsia="宋体" w:hAnsi="宋体" w:cs="宋体" w:hint="eastAsia"/>
          <w:spacing w:val="2"/>
          <w:sz w:val="32"/>
          <w:szCs w:val="32"/>
          <w:lang w:eastAsia="zh-CN"/>
        </w:rPr>
        <w:t>系活动记录</w:t>
      </w:r>
      <w:r>
        <w:rPr>
          <w:rFonts w:ascii="宋体" w:eastAsia="宋体" w:hAnsi="宋体" w:cs="宋体" w:hint="eastAsia"/>
          <w:sz w:val="32"/>
          <w:szCs w:val="32"/>
          <w:lang w:eastAsia="zh-CN"/>
        </w:rPr>
        <w:t>表</w:t>
      </w:r>
    </w:p>
    <w:p w14:paraId="274F05F7" w14:textId="77777777" w:rsidR="008A7010" w:rsidRDefault="008A7010">
      <w:pPr>
        <w:spacing w:line="360" w:lineRule="auto"/>
        <w:jc w:val="both"/>
        <w:rPr>
          <w:rFonts w:ascii="宋体" w:eastAsia="宋体" w:hAnsi="宋体" w:cs="宋体" w:hint="eastAsia"/>
          <w:sz w:val="24"/>
          <w:szCs w:val="24"/>
          <w:lang w:eastAsia="zh-CN"/>
        </w:rPr>
      </w:pPr>
    </w:p>
    <w:tbl>
      <w:tblPr>
        <w:tblStyle w:val="ac"/>
        <w:tblW w:w="4999" w:type="pct"/>
        <w:jc w:val="center"/>
        <w:tblLook w:val="04A0" w:firstRow="1" w:lastRow="0" w:firstColumn="1" w:lastColumn="0" w:noHBand="0" w:noVBand="1"/>
      </w:tblPr>
      <w:tblGrid>
        <w:gridCol w:w="1286"/>
        <w:gridCol w:w="7008"/>
      </w:tblGrid>
      <w:tr w:rsidR="008A7010" w14:paraId="66C4F03B" w14:textId="77777777">
        <w:trPr>
          <w:trHeight w:val="2075"/>
          <w:jc w:val="center"/>
        </w:trPr>
        <w:tc>
          <w:tcPr>
            <w:tcW w:w="775" w:type="pct"/>
            <w:vAlign w:val="center"/>
          </w:tcPr>
          <w:p w14:paraId="1DA48D74" w14:textId="77777777" w:rsidR="008A7010" w:rsidRDefault="00000000">
            <w:pPr>
              <w:pStyle w:val="TableParagraph"/>
              <w:spacing w:line="360" w:lineRule="auto"/>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投资者关系活动类别</w:t>
            </w:r>
          </w:p>
        </w:tc>
        <w:tc>
          <w:tcPr>
            <w:tcW w:w="4224" w:type="pct"/>
            <w:vAlign w:val="center"/>
          </w:tcPr>
          <w:p w14:paraId="4CD361DF" w14:textId="77777777" w:rsidR="008A7010" w:rsidRDefault="00000000">
            <w:pPr>
              <w:pStyle w:val="TableParagraph"/>
              <w:tabs>
                <w:tab w:val="left" w:pos="3342"/>
                <w:tab w:val="left" w:pos="5382"/>
              </w:tabs>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特定对象调研</w:t>
            </w:r>
            <w:r>
              <w:rPr>
                <w:rFonts w:ascii="宋体" w:eastAsia="宋体" w:hAnsi="宋体" w:cs="宋体" w:hint="eastAsia"/>
                <w:sz w:val="24"/>
                <w:szCs w:val="24"/>
                <w:lang w:eastAsia="zh-CN"/>
              </w:rPr>
              <w:tab/>
              <w:t>□ 分析师会议</w:t>
            </w:r>
          </w:p>
          <w:p w14:paraId="645E93D5" w14:textId="77777777" w:rsidR="008A7010" w:rsidRDefault="00000000">
            <w:pPr>
              <w:pStyle w:val="TableParagraph"/>
              <w:tabs>
                <w:tab w:val="left" w:pos="3342"/>
                <w:tab w:val="left" w:pos="5382"/>
              </w:tabs>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 媒体采访    </w:t>
            </w:r>
            <w:r>
              <w:rPr>
                <w:rFonts w:ascii="宋体" w:eastAsia="宋体" w:hAnsi="宋体" w:cs="宋体" w:hint="eastAsia"/>
                <w:sz w:val="24"/>
                <w:szCs w:val="24"/>
                <w:lang w:eastAsia="zh-CN"/>
              </w:rPr>
              <w:tab/>
              <w:t>□ 业绩说明会</w:t>
            </w:r>
          </w:p>
          <w:p w14:paraId="1B5A3AD5" w14:textId="77777777" w:rsidR="008A7010" w:rsidRDefault="00000000">
            <w:pPr>
              <w:pStyle w:val="TableParagraph"/>
              <w:tabs>
                <w:tab w:val="left" w:pos="3342"/>
                <w:tab w:val="left" w:pos="5382"/>
              </w:tabs>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新闻发布会</w:t>
            </w:r>
            <w:r>
              <w:rPr>
                <w:rFonts w:ascii="宋体" w:eastAsia="宋体" w:hAnsi="宋体" w:cs="宋体" w:hint="eastAsia"/>
                <w:sz w:val="24"/>
                <w:szCs w:val="24"/>
                <w:lang w:eastAsia="zh-CN"/>
              </w:rPr>
              <w:tab/>
              <w:t xml:space="preserve">□ 现场参观 </w:t>
            </w:r>
          </w:p>
          <w:p w14:paraId="6F8FB8CB" w14:textId="77777777" w:rsidR="008A7010" w:rsidRDefault="00000000">
            <w:pPr>
              <w:pStyle w:val="TableParagraph"/>
              <w:tabs>
                <w:tab w:val="left" w:pos="3342"/>
                <w:tab w:val="left" w:pos="5382"/>
              </w:tabs>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sym w:font="Wingdings 2" w:char="0052"/>
            </w:r>
            <w:r>
              <w:rPr>
                <w:rFonts w:ascii="宋体" w:eastAsia="宋体" w:hAnsi="宋体" w:cs="宋体" w:hint="eastAsia"/>
                <w:sz w:val="24"/>
                <w:szCs w:val="24"/>
                <w:lang w:eastAsia="zh-CN"/>
              </w:rPr>
              <w:t xml:space="preserve"> 路演活动  </w:t>
            </w:r>
            <w:r>
              <w:rPr>
                <w:rFonts w:ascii="宋体" w:eastAsia="宋体" w:hAnsi="宋体" w:cs="宋体" w:hint="eastAsia"/>
                <w:sz w:val="24"/>
                <w:szCs w:val="24"/>
                <w:lang w:eastAsia="zh-CN"/>
              </w:rPr>
              <w:tab/>
              <w:t>□ 一对一沟通</w:t>
            </w:r>
          </w:p>
          <w:p w14:paraId="77B14585" w14:textId="77777777" w:rsidR="008A7010" w:rsidRDefault="00000000">
            <w:pPr>
              <w:pStyle w:val="TableParagraph"/>
              <w:tabs>
                <w:tab w:val="left" w:pos="3342"/>
                <w:tab w:val="left" w:pos="5382"/>
              </w:tabs>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 其他____________ </w:t>
            </w:r>
          </w:p>
        </w:tc>
      </w:tr>
      <w:tr w:rsidR="008A7010" w14:paraId="63BBA1B9" w14:textId="77777777">
        <w:trPr>
          <w:trHeight w:val="416"/>
          <w:jc w:val="center"/>
        </w:trPr>
        <w:tc>
          <w:tcPr>
            <w:tcW w:w="775" w:type="pct"/>
            <w:vAlign w:val="center"/>
          </w:tcPr>
          <w:p w14:paraId="2C40FD72" w14:textId="77777777" w:rsidR="008A7010" w:rsidRDefault="00000000">
            <w:pPr>
              <w:pStyle w:val="TableParagraph"/>
              <w:spacing w:line="360" w:lineRule="auto"/>
              <w:jc w:val="center"/>
              <w:rPr>
                <w:rFonts w:ascii="宋体" w:eastAsia="宋体" w:hAnsi="宋体" w:cs="宋体" w:hint="eastAsia"/>
                <w:spacing w:val="2"/>
                <w:sz w:val="24"/>
                <w:szCs w:val="24"/>
              </w:rPr>
            </w:pPr>
            <w:r>
              <w:rPr>
                <w:rFonts w:ascii="宋体" w:eastAsia="宋体" w:hAnsi="宋体" w:cs="宋体" w:hint="eastAsia"/>
                <w:sz w:val="24"/>
                <w:szCs w:val="24"/>
                <w:lang w:eastAsia="zh-CN"/>
              </w:rPr>
              <w:t>时间</w:t>
            </w:r>
          </w:p>
        </w:tc>
        <w:tc>
          <w:tcPr>
            <w:tcW w:w="4224" w:type="pct"/>
            <w:vAlign w:val="center"/>
          </w:tcPr>
          <w:p w14:paraId="5447DB79" w14:textId="77777777" w:rsidR="008A7010" w:rsidRDefault="00000000">
            <w:pPr>
              <w:pStyle w:val="TableParagraph"/>
              <w:tabs>
                <w:tab w:val="left" w:pos="2022"/>
                <w:tab w:val="left" w:pos="2502"/>
                <w:tab w:val="left" w:pos="3342"/>
                <w:tab w:val="left" w:pos="4902"/>
                <w:tab w:val="left" w:pos="5382"/>
              </w:tabs>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rPr>
              <w:t>2024年</w:t>
            </w:r>
            <w:r>
              <w:rPr>
                <w:rFonts w:ascii="宋体" w:eastAsia="宋体" w:hAnsi="宋体" w:cs="宋体" w:hint="eastAsia"/>
                <w:sz w:val="24"/>
                <w:szCs w:val="24"/>
                <w:lang w:eastAsia="zh-CN"/>
              </w:rPr>
              <w:t>11</w:t>
            </w:r>
            <w:r>
              <w:rPr>
                <w:rFonts w:ascii="宋体" w:eastAsia="宋体" w:hAnsi="宋体" w:cs="宋体" w:hint="eastAsia"/>
                <w:sz w:val="24"/>
                <w:szCs w:val="24"/>
              </w:rPr>
              <w:t>月</w:t>
            </w:r>
            <w:r>
              <w:rPr>
                <w:rFonts w:ascii="宋体" w:eastAsia="宋体" w:hAnsi="宋体" w:cs="宋体" w:hint="eastAsia"/>
                <w:sz w:val="24"/>
                <w:szCs w:val="24"/>
                <w:lang w:eastAsia="zh-CN"/>
              </w:rPr>
              <w:t>13</w:t>
            </w:r>
            <w:r>
              <w:rPr>
                <w:rFonts w:ascii="宋体" w:eastAsia="宋体" w:hAnsi="宋体" w:cs="宋体" w:hint="eastAsia"/>
                <w:sz w:val="24"/>
                <w:szCs w:val="24"/>
              </w:rPr>
              <w:t>日</w:t>
            </w:r>
          </w:p>
        </w:tc>
      </w:tr>
      <w:tr w:rsidR="008A7010" w14:paraId="34A22FA2" w14:textId="77777777">
        <w:trPr>
          <w:trHeight w:val="416"/>
          <w:jc w:val="center"/>
        </w:trPr>
        <w:tc>
          <w:tcPr>
            <w:tcW w:w="775" w:type="pct"/>
            <w:vAlign w:val="center"/>
          </w:tcPr>
          <w:p w14:paraId="30381E35" w14:textId="77777777" w:rsidR="008A7010" w:rsidRDefault="00000000">
            <w:pPr>
              <w:pStyle w:val="TableParagraph"/>
              <w:spacing w:line="360" w:lineRule="auto"/>
              <w:jc w:val="center"/>
              <w:rPr>
                <w:rFonts w:ascii="宋体" w:eastAsia="宋体" w:hAnsi="宋体" w:cs="宋体" w:hint="eastAsia"/>
                <w:spacing w:val="2"/>
                <w:sz w:val="24"/>
                <w:szCs w:val="24"/>
              </w:rPr>
            </w:pPr>
            <w:r>
              <w:rPr>
                <w:rFonts w:ascii="宋体" w:eastAsia="宋体" w:hAnsi="宋体" w:cs="宋体" w:hint="eastAsia"/>
                <w:spacing w:val="2"/>
                <w:sz w:val="24"/>
                <w:szCs w:val="24"/>
                <w:lang w:eastAsia="zh-CN"/>
              </w:rPr>
              <w:t>地点</w:t>
            </w:r>
          </w:p>
        </w:tc>
        <w:tc>
          <w:tcPr>
            <w:tcW w:w="4224" w:type="pct"/>
            <w:vAlign w:val="center"/>
          </w:tcPr>
          <w:p w14:paraId="73EBB596" w14:textId="77777777" w:rsidR="008A7010" w:rsidRDefault="00000000">
            <w:pPr>
              <w:pStyle w:val="TableParagraph"/>
              <w:tabs>
                <w:tab w:val="left" w:pos="2022"/>
                <w:tab w:val="left" w:pos="2502"/>
                <w:tab w:val="left" w:pos="3342"/>
                <w:tab w:val="left" w:pos="4902"/>
                <w:tab w:val="left" w:pos="5382"/>
              </w:tabs>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深圳，现场交流</w:t>
            </w:r>
          </w:p>
        </w:tc>
      </w:tr>
      <w:tr w:rsidR="008A7010" w14:paraId="713FD936" w14:textId="77777777">
        <w:trPr>
          <w:trHeight w:val="483"/>
          <w:jc w:val="center"/>
        </w:trPr>
        <w:tc>
          <w:tcPr>
            <w:tcW w:w="775" w:type="pct"/>
            <w:vAlign w:val="center"/>
          </w:tcPr>
          <w:p w14:paraId="4D0A224F" w14:textId="77777777" w:rsidR="008A7010" w:rsidRDefault="00000000">
            <w:pPr>
              <w:pStyle w:val="TableParagraph"/>
              <w:spacing w:before="75" w:line="360" w:lineRule="auto"/>
              <w:ind w:right="140"/>
              <w:jc w:val="center"/>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参</w:t>
            </w:r>
            <w:r>
              <w:rPr>
                <w:rFonts w:ascii="宋体" w:eastAsia="宋体" w:hAnsi="宋体" w:cs="宋体" w:hint="eastAsia"/>
                <w:sz w:val="24"/>
                <w:szCs w:val="24"/>
                <w:lang w:eastAsia="zh-CN"/>
              </w:rPr>
              <w:t>与</w:t>
            </w:r>
            <w:r>
              <w:rPr>
                <w:rFonts w:ascii="宋体" w:eastAsia="宋体" w:hAnsi="宋体" w:cs="宋体" w:hint="eastAsia"/>
                <w:spacing w:val="2"/>
                <w:sz w:val="24"/>
                <w:szCs w:val="24"/>
                <w:lang w:eastAsia="zh-CN"/>
              </w:rPr>
              <w:t>单位名称</w:t>
            </w:r>
          </w:p>
        </w:tc>
        <w:tc>
          <w:tcPr>
            <w:tcW w:w="4224" w:type="pct"/>
            <w:vAlign w:val="center"/>
          </w:tcPr>
          <w:p w14:paraId="18D2FCFB" w14:textId="77777777" w:rsidR="008A7010" w:rsidRDefault="00000000">
            <w:pPr>
              <w:pStyle w:val="TableParagraph"/>
              <w:tabs>
                <w:tab w:val="left" w:pos="2022"/>
                <w:tab w:val="left" w:pos="2502"/>
                <w:tab w:val="left" w:pos="3342"/>
                <w:tab w:val="left" w:pos="4782"/>
              </w:tabs>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中信证券、平安资管</w:t>
            </w:r>
            <w:r>
              <w:rPr>
                <w:rFonts w:ascii="宋体" w:eastAsia="宋体" w:hAnsi="宋体" w:cs="宋体"/>
                <w:sz w:val="24"/>
                <w:szCs w:val="24"/>
                <w:lang w:eastAsia="zh-CN"/>
              </w:rPr>
              <w:t>、建信理财、交银施罗德基金、牧鑫资产</w:t>
            </w:r>
          </w:p>
        </w:tc>
      </w:tr>
      <w:tr w:rsidR="008A7010" w14:paraId="57F8C0B2" w14:textId="77777777">
        <w:trPr>
          <w:trHeight w:val="823"/>
          <w:jc w:val="center"/>
        </w:trPr>
        <w:tc>
          <w:tcPr>
            <w:tcW w:w="775" w:type="pct"/>
            <w:vAlign w:val="center"/>
          </w:tcPr>
          <w:p w14:paraId="397CD704" w14:textId="77777777" w:rsidR="008A7010" w:rsidRDefault="00000000">
            <w:pPr>
              <w:pStyle w:val="TableParagraph"/>
              <w:spacing w:line="360" w:lineRule="auto"/>
              <w:jc w:val="center"/>
              <w:rPr>
                <w:rFonts w:ascii="宋体" w:eastAsia="宋体" w:hAnsi="宋体" w:cs="宋体" w:hint="eastAsia"/>
                <w:spacing w:val="2"/>
                <w:sz w:val="24"/>
                <w:szCs w:val="24"/>
              </w:rPr>
            </w:pPr>
            <w:proofErr w:type="spellStart"/>
            <w:r>
              <w:rPr>
                <w:rFonts w:ascii="宋体" w:eastAsia="宋体" w:hAnsi="宋体" w:cs="宋体" w:hint="eastAsia"/>
                <w:spacing w:val="2"/>
                <w:sz w:val="24"/>
                <w:szCs w:val="24"/>
              </w:rPr>
              <w:t>上</w:t>
            </w:r>
            <w:r>
              <w:rPr>
                <w:rFonts w:ascii="宋体" w:eastAsia="宋体" w:hAnsi="宋体" w:cs="宋体" w:hint="eastAsia"/>
                <w:sz w:val="24"/>
                <w:szCs w:val="24"/>
              </w:rPr>
              <w:t>市</w:t>
            </w:r>
            <w:r>
              <w:rPr>
                <w:rFonts w:ascii="宋体" w:eastAsia="宋体" w:hAnsi="宋体" w:cs="宋体" w:hint="eastAsia"/>
                <w:spacing w:val="2"/>
                <w:sz w:val="24"/>
                <w:szCs w:val="24"/>
              </w:rPr>
              <w:t>公司</w:t>
            </w:r>
            <w:proofErr w:type="spellEnd"/>
          </w:p>
          <w:p w14:paraId="05518B99" w14:textId="77777777" w:rsidR="008A7010" w:rsidRDefault="00000000">
            <w:pPr>
              <w:pStyle w:val="TableParagraph"/>
              <w:spacing w:line="360" w:lineRule="auto"/>
              <w:jc w:val="center"/>
              <w:rPr>
                <w:rFonts w:ascii="宋体" w:eastAsia="宋体" w:hAnsi="宋体" w:cs="宋体" w:hint="eastAsia"/>
                <w:sz w:val="24"/>
                <w:szCs w:val="24"/>
              </w:rPr>
            </w:pPr>
            <w:proofErr w:type="spellStart"/>
            <w:r>
              <w:rPr>
                <w:rFonts w:ascii="宋体" w:eastAsia="宋体" w:hAnsi="宋体" w:cs="宋体" w:hint="eastAsia"/>
                <w:spacing w:val="2"/>
                <w:sz w:val="24"/>
                <w:szCs w:val="24"/>
              </w:rPr>
              <w:t>出</w:t>
            </w:r>
            <w:r>
              <w:rPr>
                <w:rFonts w:ascii="宋体" w:eastAsia="宋体" w:hAnsi="宋体" w:cs="宋体" w:hint="eastAsia"/>
                <w:sz w:val="24"/>
                <w:szCs w:val="24"/>
              </w:rPr>
              <w:t>席</w:t>
            </w:r>
            <w:r>
              <w:rPr>
                <w:rFonts w:ascii="宋体" w:eastAsia="宋体" w:hAnsi="宋体" w:cs="宋体" w:hint="eastAsia"/>
                <w:spacing w:val="2"/>
                <w:sz w:val="24"/>
                <w:szCs w:val="24"/>
              </w:rPr>
              <w:t>人员</w:t>
            </w:r>
            <w:proofErr w:type="spellEnd"/>
          </w:p>
        </w:tc>
        <w:tc>
          <w:tcPr>
            <w:tcW w:w="4224" w:type="pct"/>
            <w:vAlign w:val="center"/>
          </w:tcPr>
          <w:p w14:paraId="24652993" w14:textId="77777777" w:rsidR="008A7010" w:rsidRDefault="00000000">
            <w:pPr>
              <w:pStyle w:val="TableParagraph"/>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证券事务</w:t>
            </w:r>
            <w:r>
              <w:rPr>
                <w:rFonts w:ascii="宋体" w:eastAsia="宋体" w:hAnsi="宋体" w:cs="宋体"/>
                <w:sz w:val="24"/>
                <w:szCs w:val="24"/>
                <w:lang w:eastAsia="zh-CN"/>
              </w:rPr>
              <w:t>代表</w:t>
            </w:r>
            <w:r>
              <w:rPr>
                <w:rFonts w:ascii="宋体" w:eastAsia="宋体" w:hAnsi="宋体" w:cs="宋体" w:hint="eastAsia"/>
                <w:sz w:val="24"/>
                <w:szCs w:val="24"/>
                <w:lang w:eastAsia="zh-CN"/>
              </w:rPr>
              <w:t>林莉尔</w:t>
            </w:r>
            <w:r>
              <w:rPr>
                <w:rFonts w:ascii="宋体" w:eastAsia="宋体" w:hAnsi="宋体" w:cs="宋体"/>
                <w:sz w:val="24"/>
                <w:szCs w:val="24"/>
                <w:lang w:eastAsia="zh-CN"/>
              </w:rPr>
              <w:t xml:space="preserve">、 IR薛志浩 </w:t>
            </w:r>
          </w:p>
        </w:tc>
      </w:tr>
      <w:tr w:rsidR="008A7010" w14:paraId="29159C33" w14:textId="77777777">
        <w:trPr>
          <w:trHeight w:val="1360"/>
          <w:jc w:val="center"/>
        </w:trPr>
        <w:tc>
          <w:tcPr>
            <w:tcW w:w="775" w:type="pct"/>
            <w:vAlign w:val="center"/>
          </w:tcPr>
          <w:p w14:paraId="7D0553C3" w14:textId="77777777" w:rsidR="008A7010" w:rsidRDefault="00000000">
            <w:pPr>
              <w:pStyle w:val="TableParagraph"/>
              <w:spacing w:line="360" w:lineRule="auto"/>
              <w:jc w:val="center"/>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投资者关系</w:t>
            </w:r>
            <w:r>
              <w:rPr>
                <w:rFonts w:ascii="宋体" w:eastAsia="宋体" w:hAnsi="宋体" w:cs="宋体" w:hint="eastAsia"/>
                <w:sz w:val="24"/>
                <w:szCs w:val="24"/>
                <w:lang w:eastAsia="zh-CN"/>
              </w:rPr>
              <w:t>活动</w:t>
            </w:r>
            <w:r>
              <w:rPr>
                <w:rFonts w:ascii="宋体" w:eastAsia="宋体" w:hAnsi="宋体" w:cs="宋体" w:hint="eastAsia"/>
                <w:spacing w:val="2"/>
                <w:sz w:val="24"/>
                <w:szCs w:val="24"/>
                <w:lang w:eastAsia="zh-CN"/>
              </w:rPr>
              <w:t>主</w:t>
            </w:r>
            <w:r>
              <w:rPr>
                <w:rFonts w:ascii="宋体" w:eastAsia="宋体" w:hAnsi="宋体" w:cs="宋体" w:hint="eastAsia"/>
                <w:sz w:val="24"/>
                <w:szCs w:val="24"/>
                <w:lang w:eastAsia="zh-CN"/>
              </w:rPr>
              <w:t>要</w:t>
            </w:r>
            <w:r>
              <w:rPr>
                <w:rFonts w:ascii="宋体" w:eastAsia="宋体" w:hAnsi="宋体" w:cs="宋体" w:hint="eastAsia"/>
                <w:spacing w:val="2"/>
                <w:sz w:val="24"/>
                <w:szCs w:val="24"/>
                <w:lang w:eastAsia="zh-CN"/>
              </w:rPr>
              <w:t>内容</w:t>
            </w:r>
          </w:p>
        </w:tc>
        <w:tc>
          <w:tcPr>
            <w:tcW w:w="4224" w:type="pct"/>
          </w:tcPr>
          <w:p w14:paraId="506B5DA5" w14:textId="77777777" w:rsidR="008A7010" w:rsidRDefault="00000000">
            <w:pPr>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1、国投资本多次强调打造一流的产业金融管理平台，如何理解产业金融的实际含义与具体定位？</w:t>
            </w:r>
          </w:p>
          <w:p w14:paraId="41F45BE2" w14:textId="77777777" w:rsidR="008A7010" w:rsidRDefault="00000000">
            <w:pPr>
              <w:spacing w:line="360" w:lineRule="auto"/>
              <w:ind w:firstLineChars="200" w:firstLine="480"/>
              <w:jc w:val="both"/>
              <w:rPr>
                <w:rFonts w:ascii="宋体" w:eastAsia="宋体" w:hAnsi="宋体" w:cs="宋体" w:hint="eastAsia"/>
                <w:bCs/>
                <w:sz w:val="24"/>
                <w:szCs w:val="24"/>
                <w:lang w:eastAsia="zh-CN"/>
              </w:rPr>
            </w:pPr>
            <w:r>
              <w:rPr>
                <w:rFonts w:ascii="宋体" w:eastAsia="宋体" w:hAnsi="宋体" w:cs="宋体" w:hint="eastAsia"/>
                <w:bCs/>
                <w:sz w:val="24"/>
                <w:szCs w:val="24"/>
                <w:lang w:eastAsia="zh-CN"/>
              </w:rPr>
              <w:t>国投资本定位</w:t>
            </w:r>
            <w:r>
              <w:rPr>
                <w:rFonts w:ascii="宋体" w:eastAsia="宋体" w:hAnsi="宋体" w:cs="宋体"/>
                <w:bCs/>
                <w:sz w:val="24"/>
                <w:szCs w:val="24"/>
                <w:lang w:eastAsia="zh-CN"/>
              </w:rPr>
              <w:t>产业金融平台</w:t>
            </w:r>
            <w:r>
              <w:rPr>
                <w:rFonts w:ascii="宋体" w:eastAsia="宋体" w:hAnsi="宋体" w:cs="宋体" w:hint="eastAsia"/>
                <w:bCs/>
                <w:sz w:val="24"/>
                <w:szCs w:val="24"/>
                <w:lang w:eastAsia="zh-CN"/>
              </w:rPr>
              <w:t>，主要以金融服务实体经济为宗旨，以投资创造更美好未来为使命，紧密围绕“五篇大文章”，将自身发展嵌入国投集团的产业体系，为集团“能源产业”“数字/科技”“民生健康”板块提供多元化金融服务，多措并举提升打造有特色的产业金融模式。</w:t>
            </w:r>
          </w:p>
          <w:p w14:paraId="5675B7E1" w14:textId="77777777" w:rsidR="008A7010" w:rsidRDefault="00000000">
            <w:pPr>
              <w:spacing w:line="360" w:lineRule="auto"/>
              <w:ind w:firstLineChars="200" w:firstLine="480"/>
              <w:jc w:val="both"/>
              <w:rPr>
                <w:rFonts w:ascii="宋体" w:eastAsia="宋体" w:hAnsi="宋体" w:cs="宋体" w:hint="eastAsia"/>
                <w:bCs/>
                <w:sz w:val="24"/>
                <w:szCs w:val="24"/>
                <w:lang w:eastAsia="zh-CN"/>
              </w:rPr>
            </w:pPr>
            <w:r>
              <w:rPr>
                <w:rFonts w:ascii="宋体" w:eastAsia="宋体" w:hAnsi="宋体" w:cs="宋体" w:hint="eastAsia"/>
                <w:bCs/>
                <w:sz w:val="24"/>
                <w:szCs w:val="24"/>
                <w:lang w:eastAsia="zh-CN"/>
              </w:rPr>
              <w:t>未来国投资本将</w:t>
            </w:r>
            <w:r>
              <w:rPr>
                <w:rFonts w:ascii="宋体" w:eastAsia="宋体" w:hAnsi="宋体" w:cs="宋体"/>
                <w:bCs/>
                <w:sz w:val="24"/>
                <w:szCs w:val="24"/>
                <w:lang w:eastAsia="zh-CN"/>
              </w:rPr>
              <w:t>不断提升服务实体经济的能力，</w:t>
            </w:r>
            <w:r>
              <w:rPr>
                <w:rFonts w:ascii="宋体" w:eastAsia="宋体" w:hAnsi="宋体" w:cs="宋体" w:hint="eastAsia"/>
                <w:bCs/>
                <w:sz w:val="24"/>
                <w:szCs w:val="24"/>
                <w:lang w:eastAsia="zh-CN"/>
              </w:rPr>
              <w:t>持续赋能建设现代化产业体系，</w:t>
            </w:r>
            <w:r>
              <w:rPr>
                <w:rFonts w:ascii="宋体" w:eastAsia="宋体" w:hAnsi="宋体" w:cs="宋体"/>
                <w:bCs/>
                <w:sz w:val="24"/>
                <w:szCs w:val="24"/>
                <w:lang w:eastAsia="zh-CN"/>
              </w:rPr>
              <w:t>深挖与国投集团多元化投资业务的产融协同业务机会和资源价值，为客户提供覆盖全生命周期的产品和综合金融解决方案</w:t>
            </w:r>
            <w:r>
              <w:rPr>
                <w:rFonts w:ascii="宋体" w:eastAsia="宋体" w:hAnsi="宋体" w:cs="宋体" w:hint="eastAsia"/>
                <w:bCs/>
                <w:sz w:val="24"/>
                <w:szCs w:val="24"/>
                <w:lang w:eastAsia="zh-CN"/>
              </w:rPr>
              <w:t>。</w:t>
            </w:r>
          </w:p>
          <w:p w14:paraId="7D1C1737" w14:textId="77777777" w:rsidR="008A7010" w:rsidRDefault="00000000">
            <w:pPr>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2、国投证券更名接近一年，中报里提到“面对企业客群，深度整合国投集团与国投证券资源，落实全面协同，打造‘一个国投’综合金融服务新格局”，目前看下来有哪些具体的举措或者</w:t>
            </w:r>
            <w:r>
              <w:rPr>
                <w:rFonts w:ascii="宋体" w:eastAsia="宋体" w:hAnsi="宋体" w:cs="宋体" w:hint="eastAsia"/>
                <w:b/>
                <w:sz w:val="24"/>
                <w:szCs w:val="24"/>
                <w:lang w:eastAsia="zh-CN"/>
              </w:rPr>
              <w:lastRenderedPageBreak/>
              <w:t>项目落地？</w:t>
            </w:r>
          </w:p>
          <w:p w14:paraId="39B38913" w14:textId="56E0C1C0" w:rsidR="008A7010" w:rsidRDefault="00000000">
            <w:pPr>
              <w:spacing w:line="360" w:lineRule="auto"/>
              <w:ind w:firstLineChars="200" w:firstLine="480"/>
              <w:jc w:val="both"/>
              <w:rPr>
                <w:rFonts w:ascii="宋体" w:eastAsia="宋体" w:hAnsi="宋体" w:cs="宋体" w:hint="eastAsia"/>
                <w:bCs/>
                <w:sz w:val="24"/>
                <w:szCs w:val="24"/>
                <w:lang w:eastAsia="zh-CN"/>
              </w:rPr>
            </w:pPr>
            <w:r>
              <w:rPr>
                <w:rFonts w:ascii="宋体" w:eastAsia="宋体" w:hAnsi="宋体" w:cs="宋体"/>
                <w:bCs/>
                <w:sz w:val="24"/>
                <w:szCs w:val="24"/>
                <w:lang w:eastAsia="zh-CN"/>
              </w:rPr>
              <w:t>国投</w:t>
            </w:r>
            <w:r>
              <w:rPr>
                <w:rFonts w:ascii="宋体" w:eastAsia="宋体" w:hAnsi="宋体" w:cs="宋体" w:hint="eastAsia"/>
                <w:bCs/>
                <w:sz w:val="24"/>
                <w:szCs w:val="24"/>
                <w:lang w:eastAsia="zh-CN"/>
              </w:rPr>
              <w:t>证券</w:t>
            </w:r>
            <w:r>
              <w:rPr>
                <w:rFonts w:ascii="宋体" w:eastAsia="宋体" w:hAnsi="宋体" w:cs="宋体"/>
                <w:bCs/>
                <w:sz w:val="24"/>
                <w:szCs w:val="24"/>
                <w:lang w:eastAsia="zh-CN"/>
              </w:rPr>
              <w:t>更名近一年来，面向国投集团控股投资企业</w:t>
            </w:r>
            <w:r>
              <w:rPr>
                <w:rFonts w:ascii="宋体" w:eastAsia="宋体" w:hAnsi="宋体" w:cs="宋体" w:hint="eastAsia"/>
                <w:bCs/>
                <w:sz w:val="24"/>
                <w:szCs w:val="24"/>
                <w:lang w:eastAsia="zh-CN"/>
              </w:rPr>
              <w:t>、</w:t>
            </w:r>
            <w:r>
              <w:rPr>
                <w:rFonts w:ascii="宋体" w:eastAsia="宋体" w:hAnsi="宋体" w:cs="宋体"/>
                <w:bCs/>
                <w:sz w:val="24"/>
                <w:szCs w:val="24"/>
                <w:lang w:eastAsia="zh-CN"/>
              </w:rPr>
              <w:t>产业</w:t>
            </w:r>
            <w:r>
              <w:rPr>
                <w:rFonts w:ascii="宋体" w:eastAsia="宋体" w:hAnsi="宋体" w:cs="宋体" w:hint="eastAsia"/>
                <w:bCs/>
                <w:sz w:val="24"/>
                <w:szCs w:val="24"/>
                <w:lang w:eastAsia="zh-CN"/>
              </w:rPr>
              <w:t>基金</w:t>
            </w:r>
            <w:r>
              <w:rPr>
                <w:rFonts w:ascii="宋体" w:eastAsia="宋体" w:hAnsi="宋体" w:cs="宋体"/>
                <w:bCs/>
                <w:sz w:val="24"/>
                <w:szCs w:val="24"/>
                <w:lang w:eastAsia="zh-CN"/>
              </w:rPr>
              <w:t>投资企业</w:t>
            </w:r>
            <w:r w:rsidR="00EC5A68">
              <w:rPr>
                <w:rFonts w:ascii="宋体" w:eastAsia="宋体" w:hAnsi="宋体" w:cs="宋体" w:hint="eastAsia"/>
                <w:bCs/>
                <w:sz w:val="24"/>
                <w:szCs w:val="24"/>
                <w:lang w:eastAsia="zh-CN"/>
              </w:rPr>
              <w:t>“</w:t>
            </w:r>
            <w:r>
              <w:rPr>
                <w:rFonts w:ascii="宋体" w:eastAsia="宋体" w:hAnsi="宋体" w:cs="宋体" w:hint="eastAsia"/>
                <w:bCs/>
                <w:sz w:val="24"/>
                <w:szCs w:val="24"/>
                <w:lang w:eastAsia="zh-CN"/>
              </w:rPr>
              <w:t>1+1+N</w:t>
            </w:r>
            <w:r w:rsidR="00EC5A68">
              <w:rPr>
                <w:rFonts w:ascii="宋体" w:eastAsia="宋体" w:hAnsi="宋体" w:cs="宋体" w:hint="eastAsia"/>
                <w:bCs/>
                <w:sz w:val="24"/>
                <w:szCs w:val="24"/>
                <w:lang w:eastAsia="zh-CN"/>
              </w:rPr>
              <w:t>”</w:t>
            </w:r>
            <w:r>
              <w:rPr>
                <w:rFonts w:ascii="宋体" w:eastAsia="宋体" w:hAnsi="宋体" w:cs="宋体" w:hint="eastAsia"/>
                <w:bCs/>
                <w:sz w:val="24"/>
                <w:szCs w:val="24"/>
                <w:lang w:eastAsia="zh-CN"/>
              </w:rPr>
              <w:t>的综合服务</w:t>
            </w:r>
            <w:r>
              <w:rPr>
                <w:rFonts w:ascii="宋体" w:eastAsia="宋体" w:hAnsi="宋体" w:cs="宋体"/>
                <w:bCs/>
                <w:sz w:val="24"/>
                <w:szCs w:val="24"/>
                <w:lang w:eastAsia="zh-CN"/>
              </w:rPr>
              <w:t>体系</w:t>
            </w:r>
            <w:r>
              <w:rPr>
                <w:rFonts w:ascii="宋体" w:eastAsia="宋体" w:hAnsi="宋体" w:cs="宋体" w:hint="eastAsia"/>
                <w:bCs/>
                <w:sz w:val="24"/>
                <w:szCs w:val="24"/>
                <w:lang w:eastAsia="zh-CN"/>
              </w:rPr>
              <w:t>已逐步成型</w:t>
            </w:r>
            <w:r>
              <w:rPr>
                <w:rFonts w:ascii="宋体" w:eastAsia="宋体" w:hAnsi="宋体" w:cs="宋体"/>
                <w:bCs/>
                <w:sz w:val="24"/>
                <w:szCs w:val="24"/>
                <w:lang w:eastAsia="zh-CN"/>
              </w:rPr>
              <w:t>。国投产业研究院基于深耕宏观政策、生物制造、新能源、新材料、集成电路、高端制造等领域的研究能力，为客户提供相关产业链覆盖一级和二级市场的研究定制服务；投行专家团队组成的战略客户部门</w:t>
            </w:r>
            <w:r>
              <w:rPr>
                <w:rFonts w:ascii="宋体" w:eastAsia="宋体" w:hAnsi="宋体" w:cs="宋体" w:hint="eastAsia"/>
                <w:bCs/>
                <w:sz w:val="24"/>
                <w:szCs w:val="24"/>
                <w:lang w:eastAsia="zh-CN"/>
              </w:rPr>
              <w:t>为</w:t>
            </w:r>
            <w:r>
              <w:rPr>
                <w:rFonts w:ascii="宋体" w:eastAsia="宋体" w:hAnsi="宋体" w:cs="宋体"/>
                <w:bCs/>
                <w:sz w:val="24"/>
                <w:szCs w:val="24"/>
                <w:lang w:eastAsia="zh-CN"/>
              </w:rPr>
              <w:t>央企</w:t>
            </w:r>
            <w:r>
              <w:rPr>
                <w:rFonts w:ascii="宋体" w:eastAsia="宋体" w:hAnsi="宋体" w:cs="宋体" w:hint="eastAsia"/>
                <w:bCs/>
                <w:sz w:val="24"/>
                <w:szCs w:val="24"/>
                <w:lang w:eastAsia="zh-CN"/>
              </w:rPr>
              <w:t>集团的</w:t>
            </w:r>
            <w:r>
              <w:rPr>
                <w:rFonts w:ascii="宋体" w:eastAsia="宋体" w:hAnsi="宋体" w:cs="宋体"/>
                <w:bCs/>
                <w:sz w:val="24"/>
                <w:szCs w:val="24"/>
                <w:lang w:eastAsia="zh-CN"/>
              </w:rPr>
              <w:t>并购重组、资产证券化等需求提供综合财务顾问服务；由</w:t>
            </w:r>
            <w:r>
              <w:rPr>
                <w:rFonts w:ascii="宋体" w:eastAsia="宋体" w:hAnsi="宋体" w:cs="宋体" w:hint="eastAsia"/>
                <w:bCs/>
                <w:sz w:val="24"/>
                <w:szCs w:val="24"/>
                <w:lang w:eastAsia="zh-CN"/>
              </w:rPr>
              <w:t>综合金融部</w:t>
            </w:r>
            <w:r>
              <w:rPr>
                <w:rFonts w:ascii="宋体" w:eastAsia="宋体" w:hAnsi="宋体" w:cs="宋体"/>
                <w:bCs/>
                <w:sz w:val="24"/>
                <w:szCs w:val="24"/>
                <w:lang w:eastAsia="zh-CN"/>
              </w:rPr>
              <w:t>牵头、各区域分支机构密切跟进属地相关企业</w:t>
            </w:r>
            <w:r>
              <w:rPr>
                <w:rFonts w:ascii="宋体" w:eastAsia="宋体" w:hAnsi="宋体" w:cs="宋体" w:hint="eastAsia"/>
                <w:bCs/>
                <w:sz w:val="24"/>
                <w:szCs w:val="24"/>
                <w:lang w:eastAsia="zh-CN"/>
              </w:rPr>
              <w:t>客群</w:t>
            </w:r>
            <w:r>
              <w:rPr>
                <w:rFonts w:ascii="宋体" w:eastAsia="宋体" w:hAnsi="宋体" w:cs="宋体"/>
                <w:bCs/>
                <w:sz w:val="24"/>
                <w:szCs w:val="24"/>
                <w:lang w:eastAsia="zh-CN"/>
              </w:rPr>
              <w:t>的资产托管、投资理财等各类服务需求</w:t>
            </w:r>
            <w:r>
              <w:rPr>
                <w:rFonts w:ascii="宋体" w:eastAsia="宋体" w:hAnsi="宋体" w:cs="宋体" w:hint="eastAsia"/>
                <w:bCs/>
                <w:sz w:val="24"/>
                <w:szCs w:val="24"/>
                <w:lang w:eastAsia="zh-CN"/>
              </w:rPr>
              <w:t>，</w:t>
            </w:r>
            <w:r>
              <w:rPr>
                <w:rFonts w:ascii="宋体" w:eastAsia="宋体" w:hAnsi="宋体" w:cs="宋体"/>
                <w:bCs/>
                <w:sz w:val="24"/>
                <w:szCs w:val="24"/>
                <w:lang w:eastAsia="zh-CN"/>
              </w:rPr>
              <w:t>并</w:t>
            </w:r>
            <w:r>
              <w:rPr>
                <w:rFonts w:ascii="宋体" w:eastAsia="宋体" w:hAnsi="宋体" w:cs="宋体" w:hint="eastAsia"/>
                <w:bCs/>
                <w:sz w:val="24"/>
                <w:szCs w:val="24"/>
                <w:lang w:eastAsia="zh-CN"/>
              </w:rPr>
              <w:t>协同</w:t>
            </w:r>
            <w:r>
              <w:rPr>
                <w:rFonts w:ascii="宋体" w:eastAsia="宋体" w:hAnsi="宋体" w:cs="宋体"/>
                <w:bCs/>
                <w:sz w:val="24"/>
                <w:szCs w:val="24"/>
                <w:lang w:eastAsia="zh-CN"/>
              </w:rPr>
              <w:t>各业务条线</w:t>
            </w:r>
            <w:r>
              <w:rPr>
                <w:rFonts w:ascii="宋体" w:eastAsia="宋体" w:hAnsi="宋体" w:cs="宋体" w:hint="eastAsia"/>
                <w:bCs/>
                <w:sz w:val="24"/>
                <w:szCs w:val="24"/>
                <w:lang w:eastAsia="zh-CN"/>
              </w:rPr>
              <w:t>设计</w:t>
            </w:r>
            <w:r>
              <w:rPr>
                <w:rFonts w:ascii="宋体" w:eastAsia="宋体" w:hAnsi="宋体" w:cs="宋体"/>
                <w:bCs/>
                <w:sz w:val="24"/>
                <w:szCs w:val="24"/>
                <w:lang w:eastAsia="zh-CN"/>
              </w:rPr>
              <w:t>适用各类客户、不同场景的产品</w:t>
            </w:r>
            <w:r>
              <w:rPr>
                <w:rFonts w:ascii="宋体" w:eastAsia="宋体" w:hAnsi="宋体" w:cs="宋体" w:hint="eastAsia"/>
                <w:bCs/>
                <w:sz w:val="24"/>
                <w:szCs w:val="24"/>
                <w:lang w:eastAsia="zh-CN"/>
              </w:rPr>
              <w:t>服务体系</w:t>
            </w:r>
            <w:r>
              <w:rPr>
                <w:rFonts w:ascii="宋体" w:eastAsia="宋体" w:hAnsi="宋体" w:cs="宋体"/>
                <w:bCs/>
                <w:sz w:val="24"/>
                <w:szCs w:val="24"/>
                <w:lang w:eastAsia="zh-CN"/>
              </w:rPr>
              <w:t>和解决方案</w:t>
            </w:r>
            <w:r>
              <w:rPr>
                <w:rFonts w:ascii="宋体" w:eastAsia="宋体" w:hAnsi="宋体" w:cs="宋体" w:hint="eastAsia"/>
                <w:bCs/>
                <w:sz w:val="24"/>
                <w:szCs w:val="24"/>
                <w:lang w:eastAsia="zh-CN"/>
              </w:rPr>
              <w:t>。</w:t>
            </w:r>
          </w:p>
          <w:p w14:paraId="379E6D8D" w14:textId="77777777" w:rsidR="008A7010" w:rsidRDefault="00000000">
            <w:pPr>
              <w:spacing w:line="360" w:lineRule="auto"/>
              <w:ind w:firstLineChars="200" w:firstLine="480"/>
              <w:jc w:val="both"/>
              <w:rPr>
                <w:rFonts w:ascii="宋体" w:eastAsia="宋体" w:hAnsi="宋体" w:cs="宋体" w:hint="eastAsia"/>
                <w:bCs/>
                <w:sz w:val="24"/>
                <w:szCs w:val="24"/>
                <w:lang w:eastAsia="zh-CN"/>
              </w:rPr>
            </w:pPr>
            <w:r>
              <w:rPr>
                <w:rFonts w:ascii="宋体" w:eastAsia="宋体" w:hAnsi="宋体" w:cs="宋体"/>
                <w:bCs/>
                <w:sz w:val="24"/>
                <w:szCs w:val="24"/>
                <w:lang w:eastAsia="zh-CN"/>
              </w:rPr>
              <w:t>目前，</w:t>
            </w:r>
            <w:r>
              <w:rPr>
                <w:rFonts w:ascii="宋体" w:eastAsia="宋体" w:hAnsi="宋体" w:cs="宋体" w:hint="eastAsia"/>
                <w:bCs/>
                <w:sz w:val="24"/>
                <w:szCs w:val="24"/>
                <w:lang w:eastAsia="zh-CN"/>
              </w:rPr>
              <w:t>国投证券</w:t>
            </w:r>
            <w:r>
              <w:rPr>
                <w:rFonts w:ascii="宋体" w:eastAsia="宋体" w:hAnsi="宋体" w:cs="宋体"/>
                <w:bCs/>
                <w:sz w:val="24"/>
                <w:szCs w:val="24"/>
                <w:lang w:eastAsia="zh-CN"/>
              </w:rPr>
              <w:t>已</w:t>
            </w:r>
            <w:r>
              <w:rPr>
                <w:rFonts w:ascii="宋体" w:eastAsia="宋体" w:hAnsi="宋体" w:cs="宋体" w:hint="eastAsia"/>
                <w:bCs/>
                <w:sz w:val="24"/>
                <w:szCs w:val="24"/>
                <w:lang w:eastAsia="zh-CN"/>
              </w:rPr>
              <w:t>构建</w:t>
            </w:r>
            <w:r>
              <w:rPr>
                <w:rFonts w:ascii="宋体" w:eastAsia="宋体" w:hAnsi="宋体" w:cs="宋体"/>
                <w:bCs/>
                <w:sz w:val="24"/>
                <w:szCs w:val="24"/>
                <w:lang w:eastAsia="zh-CN"/>
              </w:rPr>
              <w:t>一站式</w:t>
            </w:r>
            <w:r>
              <w:rPr>
                <w:rFonts w:ascii="宋体" w:eastAsia="宋体" w:hAnsi="宋体" w:cs="宋体" w:hint="eastAsia"/>
                <w:bCs/>
                <w:sz w:val="24"/>
                <w:szCs w:val="24"/>
                <w:lang w:eastAsia="zh-CN"/>
              </w:rPr>
              <w:t>企业家综合服务模式，</w:t>
            </w:r>
            <w:r>
              <w:rPr>
                <w:rFonts w:ascii="宋体" w:eastAsia="宋体" w:hAnsi="宋体" w:cs="宋体"/>
                <w:bCs/>
                <w:sz w:val="24"/>
                <w:szCs w:val="24"/>
                <w:lang w:eastAsia="zh-CN"/>
              </w:rPr>
              <w:t>积极与产业基金业务进行联动，已落地的协同服务系统有“上市公司综合服务平台”，通过平台对集团产业基金所持有的股份进行集中管理。同时，国投证券正在积极为国投集团相关企业的收购项目提供买方财务顾问服务及研究支持。下一步将力争对国投集团投资生态圈</w:t>
            </w:r>
            <w:r>
              <w:rPr>
                <w:rFonts w:ascii="宋体" w:eastAsia="宋体" w:hAnsi="宋体" w:cs="宋体" w:hint="eastAsia"/>
                <w:bCs/>
                <w:sz w:val="24"/>
                <w:szCs w:val="24"/>
                <w:lang w:eastAsia="zh-CN"/>
              </w:rPr>
              <w:t>的</w:t>
            </w:r>
            <w:r>
              <w:rPr>
                <w:rFonts w:ascii="宋体" w:eastAsia="宋体" w:hAnsi="宋体" w:cs="宋体"/>
                <w:bCs/>
                <w:sz w:val="24"/>
                <w:szCs w:val="24"/>
                <w:lang w:eastAsia="zh-CN"/>
              </w:rPr>
              <w:t>数百家</w:t>
            </w:r>
            <w:r>
              <w:rPr>
                <w:rFonts w:ascii="宋体" w:eastAsia="宋体" w:hAnsi="宋体" w:cs="宋体" w:hint="eastAsia"/>
                <w:bCs/>
                <w:sz w:val="24"/>
                <w:szCs w:val="24"/>
                <w:lang w:eastAsia="zh-CN"/>
              </w:rPr>
              <w:t>企业进行有效覆盖与服务，</w:t>
            </w:r>
            <w:r>
              <w:rPr>
                <w:rFonts w:ascii="宋体" w:eastAsia="宋体" w:hAnsi="宋体" w:cs="宋体"/>
                <w:bCs/>
                <w:sz w:val="24"/>
                <w:szCs w:val="24"/>
                <w:lang w:eastAsia="zh-CN"/>
              </w:rPr>
              <w:t>向公司</w:t>
            </w:r>
            <w:r>
              <w:rPr>
                <w:rFonts w:ascii="宋体" w:eastAsia="宋体" w:hAnsi="宋体" w:cs="宋体" w:hint="eastAsia"/>
                <w:bCs/>
                <w:sz w:val="24"/>
                <w:szCs w:val="24"/>
                <w:lang w:eastAsia="zh-CN"/>
              </w:rPr>
              <w:t>投行、财富管理</w:t>
            </w:r>
            <w:r>
              <w:rPr>
                <w:rFonts w:ascii="宋体" w:eastAsia="宋体" w:hAnsi="宋体" w:cs="宋体"/>
                <w:bCs/>
                <w:sz w:val="24"/>
                <w:szCs w:val="24"/>
                <w:lang w:eastAsia="zh-CN"/>
              </w:rPr>
              <w:t>等牌照</w:t>
            </w:r>
            <w:r>
              <w:rPr>
                <w:rFonts w:ascii="宋体" w:eastAsia="宋体" w:hAnsi="宋体" w:cs="宋体" w:hint="eastAsia"/>
                <w:bCs/>
                <w:sz w:val="24"/>
                <w:szCs w:val="24"/>
                <w:lang w:eastAsia="zh-CN"/>
              </w:rPr>
              <w:t>业务等方向</w:t>
            </w:r>
            <w:r>
              <w:rPr>
                <w:rFonts w:ascii="宋体" w:eastAsia="宋体" w:hAnsi="宋体" w:cs="宋体"/>
                <w:bCs/>
                <w:sz w:val="24"/>
                <w:szCs w:val="24"/>
                <w:lang w:eastAsia="zh-CN"/>
              </w:rPr>
              <w:t>引流</w:t>
            </w:r>
            <w:r>
              <w:rPr>
                <w:rFonts w:ascii="宋体" w:eastAsia="宋体" w:hAnsi="宋体" w:cs="宋体" w:hint="eastAsia"/>
                <w:bCs/>
                <w:sz w:val="24"/>
                <w:szCs w:val="24"/>
                <w:lang w:eastAsia="zh-CN"/>
              </w:rPr>
              <w:t>更多业务机会</w:t>
            </w:r>
            <w:r>
              <w:rPr>
                <w:rFonts w:ascii="宋体" w:eastAsia="宋体" w:hAnsi="宋体" w:cs="宋体"/>
                <w:bCs/>
                <w:sz w:val="24"/>
                <w:szCs w:val="24"/>
                <w:lang w:eastAsia="zh-CN"/>
              </w:rPr>
              <w:t>，不断</w:t>
            </w:r>
            <w:r>
              <w:rPr>
                <w:rFonts w:ascii="宋体" w:eastAsia="宋体" w:hAnsi="宋体" w:cs="宋体" w:hint="eastAsia"/>
                <w:bCs/>
                <w:sz w:val="24"/>
                <w:szCs w:val="24"/>
                <w:lang w:eastAsia="zh-CN"/>
              </w:rPr>
              <w:t>提升</w:t>
            </w:r>
            <w:r>
              <w:rPr>
                <w:rFonts w:ascii="宋体" w:eastAsia="宋体" w:hAnsi="宋体" w:cs="宋体"/>
                <w:bCs/>
                <w:sz w:val="24"/>
                <w:szCs w:val="24"/>
                <w:lang w:eastAsia="zh-CN"/>
              </w:rPr>
              <w:t>国投</w:t>
            </w:r>
            <w:r>
              <w:rPr>
                <w:rFonts w:ascii="宋体" w:eastAsia="宋体" w:hAnsi="宋体" w:cs="宋体" w:hint="eastAsia"/>
                <w:bCs/>
                <w:sz w:val="24"/>
                <w:szCs w:val="24"/>
                <w:lang w:eastAsia="zh-CN"/>
              </w:rPr>
              <w:t>证券AUM及</w:t>
            </w:r>
            <w:r>
              <w:rPr>
                <w:rFonts w:ascii="宋体" w:eastAsia="宋体" w:hAnsi="宋体" w:cs="宋体"/>
                <w:bCs/>
                <w:sz w:val="24"/>
                <w:szCs w:val="24"/>
                <w:lang w:eastAsia="zh-CN"/>
              </w:rPr>
              <w:t>创收能力</w:t>
            </w:r>
            <w:r>
              <w:rPr>
                <w:rFonts w:ascii="宋体" w:eastAsia="宋体" w:hAnsi="宋体" w:cs="宋体" w:hint="eastAsia"/>
                <w:bCs/>
                <w:sz w:val="24"/>
                <w:szCs w:val="24"/>
                <w:lang w:eastAsia="zh-CN"/>
              </w:rPr>
              <w:t>。</w:t>
            </w:r>
          </w:p>
          <w:p w14:paraId="53DD9748" w14:textId="77777777" w:rsidR="008A7010" w:rsidRDefault="00000000">
            <w:pPr>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3、财富管理方面，可否具体分享一下国投证券在财富管理转型方面有哪些举措？</w:t>
            </w:r>
          </w:p>
          <w:p w14:paraId="770195EC" w14:textId="77777777" w:rsidR="008A7010" w:rsidRDefault="00000000">
            <w:pPr>
              <w:spacing w:line="360" w:lineRule="auto"/>
              <w:ind w:firstLineChars="200" w:firstLine="480"/>
              <w:jc w:val="both"/>
              <w:rPr>
                <w:rFonts w:ascii="宋体" w:eastAsia="宋体" w:hAnsi="宋体" w:cs="宋体" w:hint="eastAsia"/>
                <w:bCs/>
                <w:sz w:val="24"/>
                <w:szCs w:val="24"/>
                <w:lang w:eastAsia="zh-CN"/>
              </w:rPr>
            </w:pPr>
            <w:r>
              <w:rPr>
                <w:rFonts w:ascii="宋体" w:eastAsia="宋体" w:hAnsi="宋体" w:cs="宋体" w:hint="eastAsia"/>
                <w:bCs/>
                <w:sz w:val="24"/>
                <w:szCs w:val="24"/>
                <w:lang w:eastAsia="zh-CN"/>
              </w:rPr>
              <w:t>针对财富管理战略转型，</w:t>
            </w:r>
            <w:r>
              <w:rPr>
                <w:rFonts w:ascii="宋体" w:eastAsia="宋体" w:hAnsi="宋体" w:cs="宋体"/>
                <w:bCs/>
                <w:sz w:val="24"/>
                <w:szCs w:val="24"/>
                <w:lang w:eastAsia="zh-CN"/>
              </w:rPr>
              <w:t>国投证券</w:t>
            </w:r>
            <w:r>
              <w:rPr>
                <w:rFonts w:ascii="宋体" w:eastAsia="宋体" w:hAnsi="宋体" w:cs="宋体" w:hint="eastAsia"/>
                <w:bCs/>
                <w:sz w:val="24"/>
                <w:szCs w:val="24"/>
                <w:lang w:eastAsia="zh-CN"/>
              </w:rPr>
              <w:t>已制定并实施总部级业务协同机制，全面推进“研究-投资-顾问”</w:t>
            </w:r>
            <w:r>
              <w:rPr>
                <w:rFonts w:ascii="宋体" w:eastAsia="宋体" w:hAnsi="宋体" w:cs="宋体"/>
                <w:bCs/>
                <w:sz w:val="24"/>
                <w:szCs w:val="24"/>
                <w:lang w:eastAsia="zh-CN"/>
              </w:rPr>
              <w:t>的</w:t>
            </w:r>
            <w:r>
              <w:rPr>
                <w:rFonts w:ascii="宋体" w:eastAsia="宋体" w:hAnsi="宋体" w:cs="宋体" w:hint="eastAsia"/>
                <w:bCs/>
                <w:sz w:val="24"/>
                <w:szCs w:val="24"/>
                <w:lang w:eastAsia="zh-CN"/>
              </w:rPr>
              <w:t>财富管理战略转型。</w:t>
            </w:r>
            <w:r>
              <w:rPr>
                <w:rFonts w:ascii="宋体" w:eastAsia="宋体" w:hAnsi="宋体" w:cs="宋体"/>
                <w:bCs/>
                <w:sz w:val="24"/>
                <w:szCs w:val="24"/>
                <w:lang w:eastAsia="zh-CN"/>
              </w:rPr>
              <w:t>依托</w:t>
            </w:r>
            <w:r>
              <w:rPr>
                <w:rFonts w:ascii="宋体" w:eastAsia="宋体" w:hAnsi="宋体" w:cs="宋体" w:hint="eastAsia"/>
                <w:bCs/>
                <w:sz w:val="24"/>
                <w:szCs w:val="24"/>
                <w:lang w:eastAsia="zh-CN"/>
              </w:rPr>
              <w:t>总部</w:t>
            </w:r>
            <w:r>
              <w:rPr>
                <w:rFonts w:ascii="宋体" w:eastAsia="宋体" w:hAnsi="宋体" w:cs="宋体"/>
                <w:bCs/>
                <w:sz w:val="24"/>
                <w:szCs w:val="24"/>
                <w:lang w:eastAsia="zh-CN"/>
              </w:rPr>
              <w:t>宏观策略及行业研究能力</w:t>
            </w:r>
            <w:r>
              <w:rPr>
                <w:rFonts w:ascii="宋体" w:eastAsia="宋体" w:hAnsi="宋体" w:cs="宋体" w:hint="eastAsia"/>
                <w:bCs/>
                <w:sz w:val="24"/>
                <w:szCs w:val="24"/>
                <w:lang w:eastAsia="zh-CN"/>
              </w:rPr>
              <w:t>，</w:t>
            </w:r>
            <w:r>
              <w:rPr>
                <w:rFonts w:ascii="宋体" w:eastAsia="宋体" w:hAnsi="宋体" w:cs="宋体"/>
                <w:bCs/>
                <w:sz w:val="24"/>
                <w:szCs w:val="24"/>
                <w:lang w:eastAsia="zh-CN"/>
              </w:rPr>
              <w:t>构建</w:t>
            </w:r>
            <w:r>
              <w:rPr>
                <w:rFonts w:ascii="宋体" w:eastAsia="宋体" w:hAnsi="宋体" w:cs="宋体" w:hint="eastAsia"/>
                <w:bCs/>
                <w:sz w:val="24"/>
                <w:szCs w:val="24"/>
                <w:lang w:eastAsia="zh-CN"/>
              </w:rPr>
              <w:t>产品</w:t>
            </w:r>
            <w:r>
              <w:rPr>
                <w:rFonts w:ascii="宋体" w:eastAsia="宋体" w:hAnsi="宋体" w:cs="宋体"/>
                <w:bCs/>
                <w:sz w:val="24"/>
                <w:szCs w:val="24"/>
                <w:lang w:eastAsia="zh-CN"/>
              </w:rPr>
              <w:t>投资</w:t>
            </w:r>
            <w:r>
              <w:rPr>
                <w:rFonts w:ascii="宋体" w:eastAsia="宋体" w:hAnsi="宋体" w:cs="宋体" w:hint="eastAsia"/>
                <w:bCs/>
                <w:sz w:val="24"/>
                <w:szCs w:val="24"/>
                <w:lang w:eastAsia="zh-CN"/>
              </w:rPr>
              <w:t>组合，赋能分支机构</w:t>
            </w:r>
            <w:r>
              <w:rPr>
                <w:rFonts w:ascii="宋体" w:eastAsia="宋体" w:hAnsi="宋体" w:cs="宋体"/>
                <w:bCs/>
                <w:sz w:val="24"/>
                <w:szCs w:val="24"/>
                <w:lang w:eastAsia="zh-CN"/>
              </w:rPr>
              <w:t>理财</w:t>
            </w:r>
            <w:r>
              <w:rPr>
                <w:rFonts w:ascii="宋体" w:eastAsia="宋体" w:hAnsi="宋体" w:cs="宋体" w:hint="eastAsia"/>
                <w:bCs/>
                <w:sz w:val="24"/>
                <w:szCs w:val="24"/>
                <w:lang w:eastAsia="zh-CN"/>
              </w:rPr>
              <w:t>顾问</w:t>
            </w:r>
            <w:r>
              <w:rPr>
                <w:rFonts w:ascii="宋体" w:eastAsia="宋体" w:hAnsi="宋体" w:cs="宋体"/>
                <w:bCs/>
                <w:sz w:val="24"/>
                <w:szCs w:val="24"/>
                <w:lang w:eastAsia="zh-CN"/>
              </w:rPr>
              <w:t>和财富顾问服务终端客户，</w:t>
            </w:r>
            <w:r>
              <w:rPr>
                <w:rFonts w:ascii="宋体" w:eastAsia="宋体" w:hAnsi="宋体" w:cs="宋体" w:hint="eastAsia"/>
                <w:bCs/>
                <w:sz w:val="24"/>
                <w:szCs w:val="24"/>
                <w:lang w:eastAsia="zh-CN"/>
              </w:rPr>
              <w:t>实现总分联动一体化的资产配置系统，全面提升分支机构的专业能力。</w:t>
            </w:r>
          </w:p>
          <w:p w14:paraId="12E166BD" w14:textId="77777777" w:rsidR="008A7010" w:rsidRDefault="00000000">
            <w:pPr>
              <w:spacing w:line="360" w:lineRule="auto"/>
              <w:ind w:firstLineChars="200" w:firstLine="480"/>
              <w:jc w:val="both"/>
              <w:rPr>
                <w:rFonts w:ascii="宋体" w:eastAsia="宋体" w:hAnsi="宋体" w:cs="宋体" w:hint="eastAsia"/>
                <w:bCs/>
                <w:sz w:val="24"/>
                <w:szCs w:val="24"/>
                <w:lang w:eastAsia="zh-CN"/>
              </w:rPr>
            </w:pPr>
            <w:r>
              <w:rPr>
                <w:rFonts w:ascii="宋体" w:eastAsia="宋体" w:hAnsi="宋体" w:cs="宋体"/>
                <w:bCs/>
                <w:sz w:val="24"/>
                <w:szCs w:val="24"/>
                <w:lang w:eastAsia="zh-CN"/>
              </w:rPr>
              <w:t>国投证券</w:t>
            </w:r>
            <w:r>
              <w:rPr>
                <w:rFonts w:ascii="宋体" w:eastAsia="宋体" w:hAnsi="宋体" w:cs="宋体" w:hint="eastAsia"/>
                <w:bCs/>
                <w:sz w:val="24"/>
                <w:szCs w:val="24"/>
                <w:lang w:eastAsia="zh-CN"/>
              </w:rPr>
              <w:t>着力打造买方投顾服务体系，通过专业培训赋能和展业工具支持，提升一线业务人员的展业能力。针对不同客群提供定制化的资产配置服务方案，输出多维度的大类资产配置服务，为投资者带来更加专业和个性化的服务体验，进一步提升公司在财</w:t>
            </w:r>
            <w:r>
              <w:rPr>
                <w:rFonts w:ascii="宋体" w:eastAsia="宋体" w:hAnsi="宋体" w:cs="宋体" w:hint="eastAsia"/>
                <w:bCs/>
                <w:sz w:val="24"/>
                <w:szCs w:val="24"/>
                <w:lang w:eastAsia="zh-CN"/>
              </w:rPr>
              <w:lastRenderedPageBreak/>
              <w:t>富管理领域的竞争力。</w:t>
            </w:r>
          </w:p>
          <w:p w14:paraId="6C2F18A1" w14:textId="77777777" w:rsidR="008A7010" w:rsidRDefault="00000000">
            <w:pPr>
              <w:spacing w:line="360" w:lineRule="auto"/>
              <w:ind w:firstLineChars="200" w:firstLine="482"/>
              <w:jc w:val="both"/>
              <w:rPr>
                <w:rFonts w:ascii="宋体" w:eastAsia="宋体" w:hAnsi="宋体" w:cs="宋体" w:hint="eastAsia"/>
                <w:bCs/>
                <w:sz w:val="24"/>
                <w:szCs w:val="24"/>
                <w:lang w:eastAsia="zh-CN"/>
              </w:rPr>
            </w:pPr>
            <w:r>
              <w:rPr>
                <w:rFonts w:ascii="宋体" w:eastAsia="宋体" w:hAnsi="宋体" w:cs="宋体" w:hint="eastAsia"/>
                <w:b/>
                <w:sz w:val="24"/>
                <w:szCs w:val="24"/>
                <w:lang w:eastAsia="zh-CN"/>
              </w:rPr>
              <w:t>4、IPO和再融资阶段性收紧，公司在业务规划或者人员管理层面有什么举措来适应当前环境？</w:t>
            </w:r>
          </w:p>
          <w:p w14:paraId="65D0CCA0" w14:textId="77777777" w:rsidR="008A7010" w:rsidRDefault="00000000">
            <w:pPr>
              <w:spacing w:line="360" w:lineRule="auto"/>
              <w:ind w:firstLineChars="200" w:firstLine="480"/>
              <w:jc w:val="both"/>
              <w:rPr>
                <w:rFonts w:ascii="宋体" w:eastAsia="宋体" w:hAnsi="宋体" w:cs="宋体" w:hint="eastAsia"/>
                <w:bCs/>
                <w:sz w:val="24"/>
                <w:szCs w:val="24"/>
                <w:lang w:eastAsia="zh-CN"/>
              </w:rPr>
            </w:pPr>
            <w:r>
              <w:rPr>
                <w:rFonts w:ascii="宋体" w:eastAsia="宋体" w:hAnsi="宋体" w:cs="宋体" w:hint="eastAsia"/>
                <w:bCs/>
                <w:sz w:val="24"/>
                <w:szCs w:val="24"/>
                <w:lang w:eastAsia="zh-CN"/>
              </w:rPr>
              <w:t>国投证券积极构建“行业+投资+分公司+研究”的大投行服务生态，以增强业务资源整合协同能力，致力于成为具有特色的产业投行，服务新质生产力的发展。从单一IPO业务为主向“IPO+再融资+并购”等多元化股权融资模式转型，特别是在IPO业务收紧的背景下，持续向</w:t>
            </w:r>
            <w:r>
              <w:rPr>
                <w:rFonts w:ascii="宋体" w:eastAsia="宋体" w:hAnsi="宋体" w:cs="宋体"/>
                <w:bCs/>
                <w:sz w:val="24"/>
                <w:szCs w:val="24"/>
                <w:lang w:eastAsia="zh-CN"/>
              </w:rPr>
              <w:t>财务顾问</w:t>
            </w:r>
            <w:r>
              <w:rPr>
                <w:rFonts w:ascii="宋体" w:eastAsia="宋体" w:hAnsi="宋体" w:cs="宋体" w:hint="eastAsia"/>
                <w:bCs/>
                <w:sz w:val="24"/>
                <w:szCs w:val="24"/>
                <w:lang w:eastAsia="zh-CN"/>
              </w:rPr>
              <w:t>及债权业务分流并输送专业人才。同时积极调整组织和业务模式，通过深化内部协同，协助分支机构打造机构业务团队，形成“投行+分支机构”的协同模式，覆盖重点业务地区，努力开发央国企客户，优化客户和产品结构，全方位</w:t>
            </w:r>
            <w:r>
              <w:rPr>
                <w:rFonts w:ascii="宋体" w:eastAsia="宋体" w:hAnsi="宋体" w:cs="宋体"/>
                <w:bCs/>
                <w:sz w:val="24"/>
                <w:szCs w:val="24"/>
                <w:lang w:eastAsia="zh-CN"/>
              </w:rPr>
              <w:t>协调调动国投</w:t>
            </w:r>
            <w:r>
              <w:rPr>
                <w:rFonts w:ascii="宋体" w:eastAsia="宋体" w:hAnsi="宋体" w:cs="宋体" w:hint="eastAsia"/>
                <w:bCs/>
                <w:sz w:val="24"/>
                <w:szCs w:val="24"/>
                <w:lang w:eastAsia="zh-CN"/>
              </w:rPr>
              <w:t>集团资源</w:t>
            </w:r>
            <w:r>
              <w:rPr>
                <w:rFonts w:ascii="宋体" w:eastAsia="宋体" w:hAnsi="宋体" w:cs="宋体"/>
                <w:bCs/>
                <w:sz w:val="24"/>
                <w:szCs w:val="24"/>
                <w:lang w:eastAsia="zh-CN"/>
              </w:rPr>
              <w:t>，争取进入更多</w:t>
            </w:r>
            <w:r>
              <w:rPr>
                <w:rFonts w:ascii="宋体" w:eastAsia="宋体" w:hAnsi="宋体" w:cs="宋体" w:hint="eastAsia"/>
                <w:bCs/>
                <w:sz w:val="24"/>
                <w:szCs w:val="24"/>
                <w:lang w:eastAsia="zh-CN"/>
              </w:rPr>
              <w:t>央国企</w:t>
            </w:r>
            <w:r>
              <w:rPr>
                <w:rFonts w:ascii="宋体" w:eastAsia="宋体" w:hAnsi="宋体" w:cs="宋体"/>
                <w:bCs/>
                <w:sz w:val="24"/>
                <w:szCs w:val="24"/>
                <w:lang w:eastAsia="zh-CN"/>
              </w:rPr>
              <w:t>客户</w:t>
            </w:r>
            <w:r>
              <w:rPr>
                <w:rFonts w:ascii="宋体" w:eastAsia="宋体" w:hAnsi="宋体" w:cs="宋体" w:hint="eastAsia"/>
                <w:bCs/>
                <w:sz w:val="24"/>
                <w:szCs w:val="24"/>
                <w:lang w:eastAsia="zh-CN"/>
              </w:rPr>
              <w:t>白名单，通过股债联动、债权带动股权模式</w:t>
            </w:r>
            <w:r>
              <w:rPr>
                <w:rFonts w:ascii="宋体" w:eastAsia="宋体" w:hAnsi="宋体" w:cs="宋体"/>
                <w:bCs/>
                <w:sz w:val="24"/>
                <w:szCs w:val="24"/>
                <w:lang w:eastAsia="zh-CN"/>
              </w:rPr>
              <w:t>服务更多</w:t>
            </w:r>
            <w:r>
              <w:rPr>
                <w:rFonts w:ascii="宋体" w:eastAsia="宋体" w:hAnsi="宋体" w:cs="宋体" w:hint="eastAsia"/>
                <w:bCs/>
                <w:sz w:val="24"/>
                <w:szCs w:val="24"/>
                <w:lang w:eastAsia="zh-CN"/>
              </w:rPr>
              <w:t>央国企</w:t>
            </w:r>
            <w:r>
              <w:rPr>
                <w:rFonts w:ascii="宋体" w:eastAsia="宋体" w:hAnsi="宋体" w:cs="宋体"/>
                <w:bCs/>
                <w:sz w:val="24"/>
                <w:szCs w:val="24"/>
                <w:lang w:eastAsia="zh-CN"/>
              </w:rPr>
              <w:t>和国投战略合作伙伴</w:t>
            </w:r>
            <w:r>
              <w:rPr>
                <w:rFonts w:ascii="宋体" w:eastAsia="宋体" w:hAnsi="宋体" w:cs="宋体" w:hint="eastAsia"/>
                <w:bCs/>
                <w:sz w:val="24"/>
                <w:szCs w:val="24"/>
                <w:lang w:eastAsia="zh-CN"/>
              </w:rPr>
              <w:t>。</w:t>
            </w:r>
          </w:p>
          <w:p w14:paraId="164704F2" w14:textId="77777777" w:rsidR="008A7010" w:rsidRDefault="00000000">
            <w:pPr>
              <w:spacing w:line="360" w:lineRule="auto"/>
              <w:ind w:firstLineChars="200" w:firstLine="482"/>
              <w:jc w:val="both"/>
              <w:rPr>
                <w:rFonts w:ascii="宋体" w:eastAsia="宋体" w:hAnsi="宋体" w:cs="宋体" w:hint="eastAsia"/>
                <w:b/>
                <w:sz w:val="24"/>
                <w:szCs w:val="24"/>
                <w:lang w:eastAsia="zh-CN"/>
              </w:rPr>
            </w:pPr>
            <w:r>
              <w:rPr>
                <w:rFonts w:ascii="宋体" w:eastAsia="宋体" w:hAnsi="宋体" w:cs="宋体" w:hint="eastAsia"/>
                <w:b/>
                <w:sz w:val="24"/>
                <w:szCs w:val="24"/>
                <w:lang w:eastAsia="zh-CN"/>
              </w:rPr>
              <w:t>5、其他权益工具投资这一科目波动比较大，去年末5.40亿元，24年中80亿，三季度末又回落到了23亿，这里面主要是什么，高股息吗？较大的变动幅度是基于投资策略的考虑吗？</w:t>
            </w:r>
          </w:p>
          <w:p w14:paraId="3D958431" w14:textId="77777777" w:rsidR="008A7010" w:rsidRDefault="00000000">
            <w:pPr>
              <w:spacing w:line="360" w:lineRule="auto"/>
              <w:ind w:firstLineChars="200" w:firstLine="480"/>
              <w:jc w:val="both"/>
              <w:rPr>
                <w:rFonts w:ascii="宋体" w:eastAsia="宋体" w:hAnsi="宋体" w:cs="宋体" w:hint="eastAsia"/>
                <w:bCs/>
                <w:sz w:val="24"/>
                <w:szCs w:val="24"/>
                <w:lang w:eastAsia="zh-CN"/>
              </w:rPr>
            </w:pPr>
            <w:r>
              <w:rPr>
                <w:rFonts w:ascii="宋体" w:eastAsia="宋体" w:hAnsi="宋体" w:cs="宋体"/>
                <w:bCs/>
                <w:sz w:val="24"/>
                <w:szCs w:val="24"/>
                <w:lang w:eastAsia="zh-CN"/>
              </w:rPr>
              <w:t>其他权益工具投资科目的变动主要受高股息投资策略的影响。面对市场波动，国投证券采取了积极的应对措施，聚焦于中长期的稳健投资策略，并进一步增强了高股息策略动态管理的精细化程度，努力获得稳健的投资回报。随着上市公司分红高峰期的结束，国投证券自营业务根据权益市场的最新行情和对高股息股票价格走势的分析判断，对持仓策略进行了相应的调整，实现了一定的增量收益。</w:t>
            </w:r>
          </w:p>
          <w:p w14:paraId="2BFD2232" w14:textId="77777777" w:rsidR="008A7010" w:rsidRDefault="00000000">
            <w:pPr>
              <w:spacing w:line="360" w:lineRule="auto"/>
              <w:ind w:firstLineChars="200" w:firstLine="480"/>
              <w:jc w:val="both"/>
              <w:rPr>
                <w:rFonts w:ascii="宋体" w:eastAsia="宋体" w:hAnsi="宋体" w:cs="宋体" w:hint="eastAsia"/>
                <w:bCs/>
                <w:sz w:val="24"/>
                <w:szCs w:val="24"/>
                <w:lang w:eastAsia="zh-CN"/>
              </w:rPr>
            </w:pPr>
            <w:r>
              <w:rPr>
                <w:rFonts w:ascii="宋体" w:eastAsia="宋体" w:hAnsi="宋体" w:cs="宋体"/>
                <w:bCs/>
                <w:sz w:val="24"/>
                <w:szCs w:val="24"/>
                <w:lang w:eastAsia="zh-CN"/>
              </w:rPr>
              <w:t>展望未来，国投证券自营业务将继续秉承绝对收益的目标，保持对市场趋势谨慎乐观的态度，加强对政策动向及宏微观经济数据的监测，以动态调整权益敞口，维持在合理适度的风险水平。此外，将积极布局那些受稳增长政策利好、经营稳健的优质上市公司，在稳健中寻求增长</w:t>
            </w:r>
            <w:r>
              <w:rPr>
                <w:rFonts w:ascii="宋体" w:eastAsia="宋体" w:hAnsi="宋体" w:cs="宋体" w:hint="eastAsia"/>
                <w:bCs/>
                <w:sz w:val="24"/>
                <w:szCs w:val="24"/>
                <w:lang w:eastAsia="zh-CN"/>
              </w:rPr>
              <w:t>。</w:t>
            </w:r>
          </w:p>
        </w:tc>
      </w:tr>
      <w:tr w:rsidR="008A7010" w14:paraId="35743823" w14:textId="77777777">
        <w:trPr>
          <w:trHeight w:val="628"/>
          <w:jc w:val="center"/>
        </w:trPr>
        <w:tc>
          <w:tcPr>
            <w:tcW w:w="775" w:type="pct"/>
            <w:vAlign w:val="center"/>
          </w:tcPr>
          <w:p w14:paraId="3D1627AB" w14:textId="77777777" w:rsidR="008A7010" w:rsidRDefault="00000000">
            <w:pPr>
              <w:pStyle w:val="TableParagraph"/>
              <w:spacing w:line="360" w:lineRule="auto"/>
              <w:jc w:val="center"/>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lastRenderedPageBreak/>
              <w:t>附件清单</w:t>
            </w:r>
          </w:p>
          <w:p w14:paraId="15FCAE7B" w14:textId="77777777" w:rsidR="008A7010" w:rsidRDefault="00000000">
            <w:pPr>
              <w:pStyle w:val="TableParagraph"/>
              <w:spacing w:line="360" w:lineRule="auto"/>
              <w:jc w:val="center"/>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lastRenderedPageBreak/>
              <w:t>（如有）</w:t>
            </w:r>
          </w:p>
        </w:tc>
        <w:tc>
          <w:tcPr>
            <w:tcW w:w="4224" w:type="pct"/>
          </w:tcPr>
          <w:p w14:paraId="19BE529E" w14:textId="77777777" w:rsidR="008A7010" w:rsidRDefault="00000000">
            <w:pPr>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无</w:t>
            </w:r>
          </w:p>
        </w:tc>
      </w:tr>
      <w:tr w:rsidR="008A7010" w14:paraId="415485DD" w14:textId="77777777">
        <w:trPr>
          <w:trHeight w:val="628"/>
          <w:jc w:val="center"/>
        </w:trPr>
        <w:tc>
          <w:tcPr>
            <w:tcW w:w="775" w:type="pct"/>
            <w:vAlign w:val="center"/>
          </w:tcPr>
          <w:p w14:paraId="469A6E28" w14:textId="77777777" w:rsidR="008A7010" w:rsidRDefault="00000000">
            <w:pPr>
              <w:pStyle w:val="TableParagraph"/>
              <w:spacing w:line="360" w:lineRule="auto"/>
              <w:jc w:val="center"/>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日期</w:t>
            </w:r>
          </w:p>
        </w:tc>
        <w:tc>
          <w:tcPr>
            <w:tcW w:w="4224" w:type="pct"/>
          </w:tcPr>
          <w:p w14:paraId="2D80CD66" w14:textId="77777777" w:rsidR="008A7010" w:rsidRDefault="00000000">
            <w:pPr>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2024年11月1</w:t>
            </w:r>
            <w:r>
              <w:rPr>
                <w:rFonts w:ascii="宋体" w:eastAsia="宋体" w:hAnsi="宋体" w:cs="宋体"/>
                <w:sz w:val="24"/>
                <w:szCs w:val="24"/>
                <w:lang w:eastAsia="zh-CN"/>
              </w:rPr>
              <w:t>4</w:t>
            </w:r>
            <w:r>
              <w:rPr>
                <w:rFonts w:ascii="宋体" w:eastAsia="宋体" w:hAnsi="宋体" w:cs="宋体" w:hint="eastAsia"/>
                <w:sz w:val="24"/>
                <w:szCs w:val="24"/>
                <w:lang w:eastAsia="zh-CN"/>
              </w:rPr>
              <w:t>日</w:t>
            </w:r>
          </w:p>
        </w:tc>
      </w:tr>
    </w:tbl>
    <w:p w14:paraId="62A057E2" w14:textId="77777777" w:rsidR="008A7010" w:rsidRDefault="008A7010">
      <w:pPr>
        <w:spacing w:line="360" w:lineRule="auto"/>
        <w:rPr>
          <w:rFonts w:hint="eastAsia"/>
          <w:lang w:eastAsia="zh-CN"/>
        </w:rPr>
      </w:pPr>
    </w:p>
    <w:sectPr w:rsidR="008A70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altName w:val="汉仪旗黑KW 55S"/>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AB"/>
    <w:rsid w:val="8D314B27"/>
    <w:rsid w:val="9AFB4ED3"/>
    <w:rsid w:val="9C7D5715"/>
    <w:rsid w:val="9EA72543"/>
    <w:rsid w:val="9FCB9841"/>
    <w:rsid w:val="9FFE4244"/>
    <w:rsid w:val="9FFFC891"/>
    <w:rsid w:val="A7987A6A"/>
    <w:rsid w:val="AAD7E24D"/>
    <w:rsid w:val="AFDDE264"/>
    <w:rsid w:val="AFF3F438"/>
    <w:rsid w:val="AFFBF2E2"/>
    <w:rsid w:val="B3AD4DCF"/>
    <w:rsid w:val="B3DC3E8A"/>
    <w:rsid w:val="B6CE200F"/>
    <w:rsid w:val="B6FE1B5A"/>
    <w:rsid w:val="B75F83C7"/>
    <w:rsid w:val="B7BA8B02"/>
    <w:rsid w:val="B7FBB63A"/>
    <w:rsid w:val="BADFEEF0"/>
    <w:rsid w:val="BC5E90AB"/>
    <w:rsid w:val="BDBB1BD4"/>
    <w:rsid w:val="BDD7812E"/>
    <w:rsid w:val="BDF78FAC"/>
    <w:rsid w:val="BEE642AB"/>
    <w:rsid w:val="BF3FBC44"/>
    <w:rsid w:val="BF973903"/>
    <w:rsid w:val="BFB7148B"/>
    <w:rsid w:val="BFBE5CA4"/>
    <w:rsid w:val="BFBFB160"/>
    <w:rsid w:val="BFF64F31"/>
    <w:rsid w:val="BFFDB8F9"/>
    <w:rsid w:val="C71CE44D"/>
    <w:rsid w:val="C9DE94D5"/>
    <w:rsid w:val="CD7B9CC9"/>
    <w:rsid w:val="CEDF54D3"/>
    <w:rsid w:val="CF7B86C3"/>
    <w:rsid w:val="D07F82D0"/>
    <w:rsid w:val="D6FECD3B"/>
    <w:rsid w:val="D75A7CFB"/>
    <w:rsid w:val="DBBA2034"/>
    <w:rsid w:val="DD58B573"/>
    <w:rsid w:val="DDFF0837"/>
    <w:rsid w:val="DE4D828F"/>
    <w:rsid w:val="DEDE44C0"/>
    <w:rsid w:val="DF374D42"/>
    <w:rsid w:val="DF5B6641"/>
    <w:rsid w:val="DFBC1368"/>
    <w:rsid w:val="DFD61D6F"/>
    <w:rsid w:val="DFEDF476"/>
    <w:rsid w:val="DFEF77FC"/>
    <w:rsid w:val="DFFF6DF0"/>
    <w:rsid w:val="E76E9C74"/>
    <w:rsid w:val="E9EE253A"/>
    <w:rsid w:val="EAEFCDCB"/>
    <w:rsid w:val="EBF33341"/>
    <w:rsid w:val="EBFF2A53"/>
    <w:rsid w:val="EC7F9628"/>
    <w:rsid w:val="EEBFC97E"/>
    <w:rsid w:val="EEFA0543"/>
    <w:rsid w:val="EF65F8C7"/>
    <w:rsid w:val="F0FB8A34"/>
    <w:rsid w:val="F1DBC6DA"/>
    <w:rsid w:val="F1FF3FAC"/>
    <w:rsid w:val="F4DE48C3"/>
    <w:rsid w:val="F4DF19B7"/>
    <w:rsid w:val="F5EB8FB5"/>
    <w:rsid w:val="F79117C6"/>
    <w:rsid w:val="F7AF4E0B"/>
    <w:rsid w:val="F7F865D8"/>
    <w:rsid w:val="F9D75B86"/>
    <w:rsid w:val="F9DF066B"/>
    <w:rsid w:val="FAAE9385"/>
    <w:rsid w:val="FAFFAA81"/>
    <w:rsid w:val="FBB5E16E"/>
    <w:rsid w:val="FBEE500A"/>
    <w:rsid w:val="FD745992"/>
    <w:rsid w:val="FD75B22E"/>
    <w:rsid w:val="FDBB3DC7"/>
    <w:rsid w:val="FDF72D5C"/>
    <w:rsid w:val="FE3BC952"/>
    <w:rsid w:val="FE3FD29E"/>
    <w:rsid w:val="FF16D975"/>
    <w:rsid w:val="FF7CB7BE"/>
    <w:rsid w:val="FF7F0DD6"/>
    <w:rsid w:val="FF7FC899"/>
    <w:rsid w:val="FF7FD58F"/>
    <w:rsid w:val="FF978A96"/>
    <w:rsid w:val="FFBAD508"/>
    <w:rsid w:val="FFBF8EDC"/>
    <w:rsid w:val="FFCFE719"/>
    <w:rsid w:val="FFCFFB2E"/>
    <w:rsid w:val="FFE5718A"/>
    <w:rsid w:val="FFF2F469"/>
    <w:rsid w:val="FFF6E2C5"/>
    <w:rsid w:val="FFF7BD68"/>
    <w:rsid w:val="FFFA5BB4"/>
    <w:rsid w:val="FFFB078C"/>
    <w:rsid w:val="FFFF3A25"/>
    <w:rsid w:val="00016597"/>
    <w:rsid w:val="00017D2A"/>
    <w:rsid w:val="00031B5F"/>
    <w:rsid w:val="00036E72"/>
    <w:rsid w:val="00054DF5"/>
    <w:rsid w:val="00055B99"/>
    <w:rsid w:val="00065D22"/>
    <w:rsid w:val="00066D38"/>
    <w:rsid w:val="00067B04"/>
    <w:rsid w:val="00072389"/>
    <w:rsid w:val="0007452C"/>
    <w:rsid w:val="00081ACD"/>
    <w:rsid w:val="00090633"/>
    <w:rsid w:val="00094954"/>
    <w:rsid w:val="000A18CB"/>
    <w:rsid w:val="000A1E72"/>
    <w:rsid w:val="000A2CF3"/>
    <w:rsid w:val="000A4FFA"/>
    <w:rsid w:val="000B0735"/>
    <w:rsid w:val="000C4B19"/>
    <w:rsid w:val="000E06F4"/>
    <w:rsid w:val="000E626B"/>
    <w:rsid w:val="000E7C5E"/>
    <w:rsid w:val="000F58B7"/>
    <w:rsid w:val="00100A9F"/>
    <w:rsid w:val="00103293"/>
    <w:rsid w:val="00104A51"/>
    <w:rsid w:val="00105B80"/>
    <w:rsid w:val="001077BA"/>
    <w:rsid w:val="00122229"/>
    <w:rsid w:val="0014139F"/>
    <w:rsid w:val="001424BB"/>
    <w:rsid w:val="001447AB"/>
    <w:rsid w:val="00150E2D"/>
    <w:rsid w:val="00157969"/>
    <w:rsid w:val="00160234"/>
    <w:rsid w:val="001625C9"/>
    <w:rsid w:val="00162B32"/>
    <w:rsid w:val="00165461"/>
    <w:rsid w:val="00165C57"/>
    <w:rsid w:val="00167A71"/>
    <w:rsid w:val="00170C9D"/>
    <w:rsid w:val="00177B62"/>
    <w:rsid w:val="00184D2F"/>
    <w:rsid w:val="001925A1"/>
    <w:rsid w:val="001930AC"/>
    <w:rsid w:val="00194183"/>
    <w:rsid w:val="001A4FC1"/>
    <w:rsid w:val="001B4730"/>
    <w:rsid w:val="001C4226"/>
    <w:rsid w:val="001C4DB4"/>
    <w:rsid w:val="001D0108"/>
    <w:rsid w:val="001D649E"/>
    <w:rsid w:val="001E6195"/>
    <w:rsid w:val="001F159A"/>
    <w:rsid w:val="001F3463"/>
    <w:rsid w:val="00202356"/>
    <w:rsid w:val="0021568F"/>
    <w:rsid w:val="00222A7E"/>
    <w:rsid w:val="00224737"/>
    <w:rsid w:val="002273F1"/>
    <w:rsid w:val="0023217F"/>
    <w:rsid w:val="00242BEA"/>
    <w:rsid w:val="00246564"/>
    <w:rsid w:val="00251F75"/>
    <w:rsid w:val="00252C94"/>
    <w:rsid w:val="0025645E"/>
    <w:rsid w:val="00266D1B"/>
    <w:rsid w:val="0027122E"/>
    <w:rsid w:val="00273C0D"/>
    <w:rsid w:val="00287367"/>
    <w:rsid w:val="002928F0"/>
    <w:rsid w:val="002A1E8A"/>
    <w:rsid w:val="002B202A"/>
    <w:rsid w:val="002C6050"/>
    <w:rsid w:val="002C6FB7"/>
    <w:rsid w:val="002D6A0C"/>
    <w:rsid w:val="002E6169"/>
    <w:rsid w:val="002E7451"/>
    <w:rsid w:val="002F1B04"/>
    <w:rsid w:val="002F2500"/>
    <w:rsid w:val="002F2A25"/>
    <w:rsid w:val="002F4391"/>
    <w:rsid w:val="00310372"/>
    <w:rsid w:val="003167A9"/>
    <w:rsid w:val="00326036"/>
    <w:rsid w:val="0033471F"/>
    <w:rsid w:val="00337B40"/>
    <w:rsid w:val="00342B5B"/>
    <w:rsid w:val="00342F27"/>
    <w:rsid w:val="00347DF1"/>
    <w:rsid w:val="00356983"/>
    <w:rsid w:val="00363BE5"/>
    <w:rsid w:val="00367108"/>
    <w:rsid w:val="00367FC0"/>
    <w:rsid w:val="00374C64"/>
    <w:rsid w:val="00377770"/>
    <w:rsid w:val="00382DBF"/>
    <w:rsid w:val="003837C1"/>
    <w:rsid w:val="003924B6"/>
    <w:rsid w:val="00392BBD"/>
    <w:rsid w:val="00393ECF"/>
    <w:rsid w:val="0039433B"/>
    <w:rsid w:val="003A01D7"/>
    <w:rsid w:val="003A39FA"/>
    <w:rsid w:val="003B58DC"/>
    <w:rsid w:val="003B7ADC"/>
    <w:rsid w:val="003C1C6F"/>
    <w:rsid w:val="003C6BFD"/>
    <w:rsid w:val="003D136A"/>
    <w:rsid w:val="003D3A6F"/>
    <w:rsid w:val="003D46FE"/>
    <w:rsid w:val="003D5B26"/>
    <w:rsid w:val="003D5E27"/>
    <w:rsid w:val="003D6DAC"/>
    <w:rsid w:val="003D7880"/>
    <w:rsid w:val="003D78A2"/>
    <w:rsid w:val="003E00A3"/>
    <w:rsid w:val="003E15D8"/>
    <w:rsid w:val="003E3302"/>
    <w:rsid w:val="003F64A2"/>
    <w:rsid w:val="003F79D7"/>
    <w:rsid w:val="00402353"/>
    <w:rsid w:val="0040511F"/>
    <w:rsid w:val="004053F8"/>
    <w:rsid w:val="00405BEB"/>
    <w:rsid w:val="00405FCF"/>
    <w:rsid w:val="00406FA1"/>
    <w:rsid w:val="004170E2"/>
    <w:rsid w:val="00421F79"/>
    <w:rsid w:val="00426363"/>
    <w:rsid w:val="00436329"/>
    <w:rsid w:val="004405D9"/>
    <w:rsid w:val="004444DD"/>
    <w:rsid w:val="004453B2"/>
    <w:rsid w:val="00445CB6"/>
    <w:rsid w:val="0044707C"/>
    <w:rsid w:val="00460D83"/>
    <w:rsid w:val="00461410"/>
    <w:rsid w:val="00475699"/>
    <w:rsid w:val="004801E1"/>
    <w:rsid w:val="0048211B"/>
    <w:rsid w:val="0048544C"/>
    <w:rsid w:val="00492E29"/>
    <w:rsid w:val="0049378F"/>
    <w:rsid w:val="00494C88"/>
    <w:rsid w:val="004970BD"/>
    <w:rsid w:val="004A59C8"/>
    <w:rsid w:val="004B3BCC"/>
    <w:rsid w:val="004B6264"/>
    <w:rsid w:val="004C1423"/>
    <w:rsid w:val="004E5276"/>
    <w:rsid w:val="00504AA1"/>
    <w:rsid w:val="00520903"/>
    <w:rsid w:val="00530C8C"/>
    <w:rsid w:val="0053576A"/>
    <w:rsid w:val="00544593"/>
    <w:rsid w:val="005609EB"/>
    <w:rsid w:val="00564111"/>
    <w:rsid w:val="005700AD"/>
    <w:rsid w:val="0057352D"/>
    <w:rsid w:val="00586B2E"/>
    <w:rsid w:val="00587F66"/>
    <w:rsid w:val="005928ED"/>
    <w:rsid w:val="00595C07"/>
    <w:rsid w:val="005969E3"/>
    <w:rsid w:val="00596A74"/>
    <w:rsid w:val="005A331E"/>
    <w:rsid w:val="005B0F88"/>
    <w:rsid w:val="005B16C0"/>
    <w:rsid w:val="005B425C"/>
    <w:rsid w:val="005B5322"/>
    <w:rsid w:val="005D3EA8"/>
    <w:rsid w:val="005E2E05"/>
    <w:rsid w:val="005F3E61"/>
    <w:rsid w:val="005F64C7"/>
    <w:rsid w:val="00613772"/>
    <w:rsid w:val="0061629F"/>
    <w:rsid w:val="00617469"/>
    <w:rsid w:val="00621B82"/>
    <w:rsid w:val="00624C1F"/>
    <w:rsid w:val="00627D23"/>
    <w:rsid w:val="00633D57"/>
    <w:rsid w:val="00634EB5"/>
    <w:rsid w:val="006370B7"/>
    <w:rsid w:val="00637767"/>
    <w:rsid w:val="00652B88"/>
    <w:rsid w:val="00653ABD"/>
    <w:rsid w:val="00654CD5"/>
    <w:rsid w:val="00661468"/>
    <w:rsid w:val="006725B8"/>
    <w:rsid w:val="006751AA"/>
    <w:rsid w:val="006838FF"/>
    <w:rsid w:val="006846C2"/>
    <w:rsid w:val="00685236"/>
    <w:rsid w:val="00686D09"/>
    <w:rsid w:val="006877C2"/>
    <w:rsid w:val="00692A9C"/>
    <w:rsid w:val="006A7688"/>
    <w:rsid w:val="006B082F"/>
    <w:rsid w:val="006B2491"/>
    <w:rsid w:val="006B4126"/>
    <w:rsid w:val="006B6D4C"/>
    <w:rsid w:val="006C6E2D"/>
    <w:rsid w:val="006E3278"/>
    <w:rsid w:val="006E60EE"/>
    <w:rsid w:val="006F1F73"/>
    <w:rsid w:val="006F2863"/>
    <w:rsid w:val="006F3A3E"/>
    <w:rsid w:val="006F3D66"/>
    <w:rsid w:val="00703C64"/>
    <w:rsid w:val="007058DF"/>
    <w:rsid w:val="00705BEA"/>
    <w:rsid w:val="00710137"/>
    <w:rsid w:val="00717506"/>
    <w:rsid w:val="007221A0"/>
    <w:rsid w:val="007255C8"/>
    <w:rsid w:val="00726C15"/>
    <w:rsid w:val="0072745A"/>
    <w:rsid w:val="007320A3"/>
    <w:rsid w:val="00737D01"/>
    <w:rsid w:val="007410E2"/>
    <w:rsid w:val="0074463C"/>
    <w:rsid w:val="0075695A"/>
    <w:rsid w:val="00757BB9"/>
    <w:rsid w:val="00761977"/>
    <w:rsid w:val="00761B52"/>
    <w:rsid w:val="00766209"/>
    <w:rsid w:val="00776AD1"/>
    <w:rsid w:val="00777293"/>
    <w:rsid w:val="00780620"/>
    <w:rsid w:val="007837CC"/>
    <w:rsid w:val="00787222"/>
    <w:rsid w:val="007A1ABB"/>
    <w:rsid w:val="007A459B"/>
    <w:rsid w:val="007B3B40"/>
    <w:rsid w:val="007B5BCC"/>
    <w:rsid w:val="007B623E"/>
    <w:rsid w:val="007C06EA"/>
    <w:rsid w:val="007D0E77"/>
    <w:rsid w:val="007D5F59"/>
    <w:rsid w:val="007E1505"/>
    <w:rsid w:val="007E456D"/>
    <w:rsid w:val="007E5E59"/>
    <w:rsid w:val="007E7579"/>
    <w:rsid w:val="007F0CC7"/>
    <w:rsid w:val="007F193C"/>
    <w:rsid w:val="008166BD"/>
    <w:rsid w:val="00820E75"/>
    <w:rsid w:val="00823029"/>
    <w:rsid w:val="00823532"/>
    <w:rsid w:val="008236D5"/>
    <w:rsid w:val="008247BA"/>
    <w:rsid w:val="008267DF"/>
    <w:rsid w:val="008312BC"/>
    <w:rsid w:val="0083247D"/>
    <w:rsid w:val="00835978"/>
    <w:rsid w:val="008377DC"/>
    <w:rsid w:val="0084452E"/>
    <w:rsid w:val="00845168"/>
    <w:rsid w:val="008468CE"/>
    <w:rsid w:val="0085206C"/>
    <w:rsid w:val="0085692D"/>
    <w:rsid w:val="00870471"/>
    <w:rsid w:val="0087237C"/>
    <w:rsid w:val="00893E53"/>
    <w:rsid w:val="00897C24"/>
    <w:rsid w:val="008A339A"/>
    <w:rsid w:val="008A7010"/>
    <w:rsid w:val="008B3345"/>
    <w:rsid w:val="008B5441"/>
    <w:rsid w:val="008C67C4"/>
    <w:rsid w:val="008C684A"/>
    <w:rsid w:val="008D194C"/>
    <w:rsid w:val="008F3580"/>
    <w:rsid w:val="008F5BBF"/>
    <w:rsid w:val="00900D5D"/>
    <w:rsid w:val="0090324F"/>
    <w:rsid w:val="00905AE3"/>
    <w:rsid w:val="0090742F"/>
    <w:rsid w:val="0091072F"/>
    <w:rsid w:val="00910ACB"/>
    <w:rsid w:val="0092169C"/>
    <w:rsid w:val="009255EA"/>
    <w:rsid w:val="00925620"/>
    <w:rsid w:val="009262CB"/>
    <w:rsid w:val="009352CD"/>
    <w:rsid w:val="009407F0"/>
    <w:rsid w:val="009454D6"/>
    <w:rsid w:val="00945E36"/>
    <w:rsid w:val="00956736"/>
    <w:rsid w:val="00974C05"/>
    <w:rsid w:val="00986BE6"/>
    <w:rsid w:val="009A0FC2"/>
    <w:rsid w:val="009B04D6"/>
    <w:rsid w:val="009B1052"/>
    <w:rsid w:val="009B643B"/>
    <w:rsid w:val="009C1718"/>
    <w:rsid w:val="009D2CCE"/>
    <w:rsid w:val="009D2FB8"/>
    <w:rsid w:val="009D79B3"/>
    <w:rsid w:val="009E05A6"/>
    <w:rsid w:val="009E1D6A"/>
    <w:rsid w:val="009E3C5D"/>
    <w:rsid w:val="009E3FFD"/>
    <w:rsid w:val="009E6E3E"/>
    <w:rsid w:val="009E7A34"/>
    <w:rsid w:val="009F3F72"/>
    <w:rsid w:val="00A00253"/>
    <w:rsid w:val="00A007E1"/>
    <w:rsid w:val="00A242A5"/>
    <w:rsid w:val="00A327C7"/>
    <w:rsid w:val="00A35A02"/>
    <w:rsid w:val="00A41BE3"/>
    <w:rsid w:val="00A462BC"/>
    <w:rsid w:val="00A465C0"/>
    <w:rsid w:val="00A52D19"/>
    <w:rsid w:val="00A5351D"/>
    <w:rsid w:val="00A63211"/>
    <w:rsid w:val="00A65A7F"/>
    <w:rsid w:val="00A67ECB"/>
    <w:rsid w:val="00A74FB5"/>
    <w:rsid w:val="00A84F7F"/>
    <w:rsid w:val="00A851B3"/>
    <w:rsid w:val="00A934B3"/>
    <w:rsid w:val="00A94C17"/>
    <w:rsid w:val="00AA0F1B"/>
    <w:rsid w:val="00AB4449"/>
    <w:rsid w:val="00AB5285"/>
    <w:rsid w:val="00AC4121"/>
    <w:rsid w:val="00AC5FC8"/>
    <w:rsid w:val="00AC7D32"/>
    <w:rsid w:val="00AD209E"/>
    <w:rsid w:val="00AD237B"/>
    <w:rsid w:val="00AD307E"/>
    <w:rsid w:val="00AD52A7"/>
    <w:rsid w:val="00AD6515"/>
    <w:rsid w:val="00AE4B58"/>
    <w:rsid w:val="00AE5EAC"/>
    <w:rsid w:val="00AF6CB5"/>
    <w:rsid w:val="00B10E1E"/>
    <w:rsid w:val="00B122A1"/>
    <w:rsid w:val="00B14E39"/>
    <w:rsid w:val="00B21A61"/>
    <w:rsid w:val="00B24D25"/>
    <w:rsid w:val="00B33012"/>
    <w:rsid w:val="00B34B76"/>
    <w:rsid w:val="00B34E6B"/>
    <w:rsid w:val="00B4050C"/>
    <w:rsid w:val="00B43745"/>
    <w:rsid w:val="00B45E84"/>
    <w:rsid w:val="00B63770"/>
    <w:rsid w:val="00B66C1D"/>
    <w:rsid w:val="00B7149B"/>
    <w:rsid w:val="00B83AB9"/>
    <w:rsid w:val="00B864D0"/>
    <w:rsid w:val="00B9036B"/>
    <w:rsid w:val="00B93394"/>
    <w:rsid w:val="00B94D58"/>
    <w:rsid w:val="00B96C29"/>
    <w:rsid w:val="00BA3ECC"/>
    <w:rsid w:val="00BA7FF9"/>
    <w:rsid w:val="00BB1955"/>
    <w:rsid w:val="00BC218B"/>
    <w:rsid w:val="00BC36E4"/>
    <w:rsid w:val="00BD5ACC"/>
    <w:rsid w:val="00BE1020"/>
    <w:rsid w:val="00BE365E"/>
    <w:rsid w:val="00BE4903"/>
    <w:rsid w:val="00BE6FD0"/>
    <w:rsid w:val="00BF090C"/>
    <w:rsid w:val="00BF5861"/>
    <w:rsid w:val="00BF7770"/>
    <w:rsid w:val="00C064F9"/>
    <w:rsid w:val="00C15F04"/>
    <w:rsid w:val="00C1705D"/>
    <w:rsid w:val="00C178F3"/>
    <w:rsid w:val="00C17D61"/>
    <w:rsid w:val="00C333E2"/>
    <w:rsid w:val="00C3486C"/>
    <w:rsid w:val="00C36688"/>
    <w:rsid w:val="00C37415"/>
    <w:rsid w:val="00C41EE2"/>
    <w:rsid w:val="00C54EEF"/>
    <w:rsid w:val="00C60838"/>
    <w:rsid w:val="00C72C6B"/>
    <w:rsid w:val="00C75806"/>
    <w:rsid w:val="00C826EF"/>
    <w:rsid w:val="00C86DD3"/>
    <w:rsid w:val="00C86F83"/>
    <w:rsid w:val="00CB69FD"/>
    <w:rsid w:val="00CB7DD9"/>
    <w:rsid w:val="00CC4AD0"/>
    <w:rsid w:val="00CE1D20"/>
    <w:rsid w:val="00CF39D6"/>
    <w:rsid w:val="00CF3D6D"/>
    <w:rsid w:val="00D0187F"/>
    <w:rsid w:val="00D04417"/>
    <w:rsid w:val="00D17A85"/>
    <w:rsid w:val="00D21C3A"/>
    <w:rsid w:val="00D3215F"/>
    <w:rsid w:val="00D35144"/>
    <w:rsid w:val="00D36E11"/>
    <w:rsid w:val="00D45B22"/>
    <w:rsid w:val="00D6108D"/>
    <w:rsid w:val="00D64E8C"/>
    <w:rsid w:val="00D661A8"/>
    <w:rsid w:val="00D67A19"/>
    <w:rsid w:val="00D866A3"/>
    <w:rsid w:val="00D96257"/>
    <w:rsid w:val="00D96D86"/>
    <w:rsid w:val="00DA2150"/>
    <w:rsid w:val="00DB279C"/>
    <w:rsid w:val="00DC7B3A"/>
    <w:rsid w:val="00DC7D57"/>
    <w:rsid w:val="00DD5DA3"/>
    <w:rsid w:val="00DE01CF"/>
    <w:rsid w:val="00DF2497"/>
    <w:rsid w:val="00DF370C"/>
    <w:rsid w:val="00DF4315"/>
    <w:rsid w:val="00E13140"/>
    <w:rsid w:val="00E17B62"/>
    <w:rsid w:val="00E20F12"/>
    <w:rsid w:val="00E32998"/>
    <w:rsid w:val="00E330C2"/>
    <w:rsid w:val="00E40C75"/>
    <w:rsid w:val="00E453E5"/>
    <w:rsid w:val="00E453FB"/>
    <w:rsid w:val="00E50E89"/>
    <w:rsid w:val="00E54D1C"/>
    <w:rsid w:val="00E55CCA"/>
    <w:rsid w:val="00E6197D"/>
    <w:rsid w:val="00E62A88"/>
    <w:rsid w:val="00E65EF1"/>
    <w:rsid w:val="00E702CC"/>
    <w:rsid w:val="00E707D8"/>
    <w:rsid w:val="00E72181"/>
    <w:rsid w:val="00E763B2"/>
    <w:rsid w:val="00E77B73"/>
    <w:rsid w:val="00E83D52"/>
    <w:rsid w:val="00E84A5F"/>
    <w:rsid w:val="00E906AA"/>
    <w:rsid w:val="00E91153"/>
    <w:rsid w:val="00E9512F"/>
    <w:rsid w:val="00EA0F0B"/>
    <w:rsid w:val="00EA2839"/>
    <w:rsid w:val="00EB4965"/>
    <w:rsid w:val="00EB4D2B"/>
    <w:rsid w:val="00EB5B38"/>
    <w:rsid w:val="00EC260B"/>
    <w:rsid w:val="00EC5A68"/>
    <w:rsid w:val="00EC6583"/>
    <w:rsid w:val="00EE1C7E"/>
    <w:rsid w:val="00EE504F"/>
    <w:rsid w:val="00EF005E"/>
    <w:rsid w:val="00EF275B"/>
    <w:rsid w:val="00F04092"/>
    <w:rsid w:val="00F047D0"/>
    <w:rsid w:val="00F1428D"/>
    <w:rsid w:val="00F162B1"/>
    <w:rsid w:val="00F205A1"/>
    <w:rsid w:val="00F3019A"/>
    <w:rsid w:val="00F326F0"/>
    <w:rsid w:val="00F3602D"/>
    <w:rsid w:val="00F40187"/>
    <w:rsid w:val="00F44724"/>
    <w:rsid w:val="00F44E21"/>
    <w:rsid w:val="00F456A0"/>
    <w:rsid w:val="00F50D26"/>
    <w:rsid w:val="00F511B7"/>
    <w:rsid w:val="00F66EBA"/>
    <w:rsid w:val="00F710CF"/>
    <w:rsid w:val="00F7214D"/>
    <w:rsid w:val="00F7744C"/>
    <w:rsid w:val="00F961D2"/>
    <w:rsid w:val="00FA25B1"/>
    <w:rsid w:val="00FA2950"/>
    <w:rsid w:val="00FA66C7"/>
    <w:rsid w:val="00FA6E20"/>
    <w:rsid w:val="00FA72BC"/>
    <w:rsid w:val="00FB2469"/>
    <w:rsid w:val="00FB2C97"/>
    <w:rsid w:val="00FC0F4C"/>
    <w:rsid w:val="00FC2400"/>
    <w:rsid w:val="00FC696D"/>
    <w:rsid w:val="00FC6D1A"/>
    <w:rsid w:val="00FE3D31"/>
    <w:rsid w:val="00FF6B07"/>
    <w:rsid w:val="01650AC2"/>
    <w:rsid w:val="0296004B"/>
    <w:rsid w:val="02E87E56"/>
    <w:rsid w:val="037E0AF9"/>
    <w:rsid w:val="039D4DCF"/>
    <w:rsid w:val="077F04D9"/>
    <w:rsid w:val="091B27E2"/>
    <w:rsid w:val="097B701A"/>
    <w:rsid w:val="09FD689E"/>
    <w:rsid w:val="0A422EAA"/>
    <w:rsid w:val="0AF50230"/>
    <w:rsid w:val="0B1722BE"/>
    <w:rsid w:val="0C387460"/>
    <w:rsid w:val="0C6D4563"/>
    <w:rsid w:val="0CAF2210"/>
    <w:rsid w:val="0CB830B7"/>
    <w:rsid w:val="0D380058"/>
    <w:rsid w:val="0D5F347D"/>
    <w:rsid w:val="0D937400"/>
    <w:rsid w:val="0F5B4E5E"/>
    <w:rsid w:val="106D0B81"/>
    <w:rsid w:val="117D67C0"/>
    <w:rsid w:val="1260229D"/>
    <w:rsid w:val="1376639C"/>
    <w:rsid w:val="14902C58"/>
    <w:rsid w:val="152623AC"/>
    <w:rsid w:val="15915D4F"/>
    <w:rsid w:val="15A642F4"/>
    <w:rsid w:val="15FC5020"/>
    <w:rsid w:val="1664025E"/>
    <w:rsid w:val="17286D0C"/>
    <w:rsid w:val="17BA8EB4"/>
    <w:rsid w:val="185730EE"/>
    <w:rsid w:val="197F060A"/>
    <w:rsid w:val="1B810D7B"/>
    <w:rsid w:val="1E1A2729"/>
    <w:rsid w:val="1E1B62F5"/>
    <w:rsid w:val="1F5F7172"/>
    <w:rsid w:val="1F9EA488"/>
    <w:rsid w:val="1FF044EA"/>
    <w:rsid w:val="20D752E8"/>
    <w:rsid w:val="21EA1EDD"/>
    <w:rsid w:val="220A5266"/>
    <w:rsid w:val="22226190"/>
    <w:rsid w:val="22350A5E"/>
    <w:rsid w:val="223B12B8"/>
    <w:rsid w:val="227B20A1"/>
    <w:rsid w:val="23192EA4"/>
    <w:rsid w:val="23231797"/>
    <w:rsid w:val="23F15106"/>
    <w:rsid w:val="25DAFD08"/>
    <w:rsid w:val="266A37D7"/>
    <w:rsid w:val="2674499C"/>
    <w:rsid w:val="26907874"/>
    <w:rsid w:val="27066912"/>
    <w:rsid w:val="271E3018"/>
    <w:rsid w:val="274C7086"/>
    <w:rsid w:val="28526934"/>
    <w:rsid w:val="28626BCE"/>
    <w:rsid w:val="291D399E"/>
    <w:rsid w:val="29FCD214"/>
    <w:rsid w:val="2A552882"/>
    <w:rsid w:val="2BDA6A14"/>
    <w:rsid w:val="2D2B5921"/>
    <w:rsid w:val="2E3F6FB4"/>
    <w:rsid w:val="2EA30912"/>
    <w:rsid w:val="2EB97679"/>
    <w:rsid w:val="2EDA3048"/>
    <w:rsid w:val="2F463F03"/>
    <w:rsid w:val="2F9F2ADB"/>
    <w:rsid w:val="2FA8493D"/>
    <w:rsid w:val="2FDF39B3"/>
    <w:rsid w:val="2FF722FC"/>
    <w:rsid w:val="30680EA4"/>
    <w:rsid w:val="3076628F"/>
    <w:rsid w:val="314978EC"/>
    <w:rsid w:val="31940C65"/>
    <w:rsid w:val="323F10FE"/>
    <w:rsid w:val="331629B9"/>
    <w:rsid w:val="33D70E93"/>
    <w:rsid w:val="34F207E7"/>
    <w:rsid w:val="3566192B"/>
    <w:rsid w:val="357FF9D6"/>
    <w:rsid w:val="35ADDC21"/>
    <w:rsid w:val="35F32B09"/>
    <w:rsid w:val="35F3CF05"/>
    <w:rsid w:val="35FB8A76"/>
    <w:rsid w:val="364D729A"/>
    <w:rsid w:val="37233390"/>
    <w:rsid w:val="3737B4F0"/>
    <w:rsid w:val="37940F7C"/>
    <w:rsid w:val="37BF1532"/>
    <w:rsid w:val="37E9BC1B"/>
    <w:rsid w:val="37FF7930"/>
    <w:rsid w:val="38392439"/>
    <w:rsid w:val="392B54D9"/>
    <w:rsid w:val="39AE1D92"/>
    <w:rsid w:val="3AFFA536"/>
    <w:rsid w:val="3BA62369"/>
    <w:rsid w:val="3BFBB15D"/>
    <w:rsid w:val="3C245ED1"/>
    <w:rsid w:val="3D527E27"/>
    <w:rsid w:val="3D8C16F0"/>
    <w:rsid w:val="3D9F37A9"/>
    <w:rsid w:val="3DAF4F22"/>
    <w:rsid w:val="3DE19BE7"/>
    <w:rsid w:val="3DFDCAD0"/>
    <w:rsid w:val="3DFE1A71"/>
    <w:rsid w:val="3E3B88E5"/>
    <w:rsid w:val="3EB50423"/>
    <w:rsid w:val="3EFF5855"/>
    <w:rsid w:val="3F799F0B"/>
    <w:rsid w:val="3FF24EF7"/>
    <w:rsid w:val="3FF66F78"/>
    <w:rsid w:val="418015D5"/>
    <w:rsid w:val="425A137D"/>
    <w:rsid w:val="44380293"/>
    <w:rsid w:val="460DC5BF"/>
    <w:rsid w:val="46870ADD"/>
    <w:rsid w:val="46B75F04"/>
    <w:rsid w:val="47A5361A"/>
    <w:rsid w:val="4B890A87"/>
    <w:rsid w:val="4B931A7D"/>
    <w:rsid w:val="4BEB429E"/>
    <w:rsid w:val="4BEEAD97"/>
    <w:rsid w:val="4BEF9EE6"/>
    <w:rsid w:val="4CDD70A9"/>
    <w:rsid w:val="4D170188"/>
    <w:rsid w:val="4D8056CB"/>
    <w:rsid w:val="4DAFF45A"/>
    <w:rsid w:val="4E000105"/>
    <w:rsid w:val="4E7B594C"/>
    <w:rsid w:val="4FAF511F"/>
    <w:rsid w:val="4FBC16A0"/>
    <w:rsid w:val="4FF27A41"/>
    <w:rsid w:val="4FFFD108"/>
    <w:rsid w:val="50696F54"/>
    <w:rsid w:val="50755DE1"/>
    <w:rsid w:val="51FFB696"/>
    <w:rsid w:val="534F5C69"/>
    <w:rsid w:val="53682151"/>
    <w:rsid w:val="53FAA15A"/>
    <w:rsid w:val="557D091A"/>
    <w:rsid w:val="55A07807"/>
    <w:rsid w:val="55BE2F2A"/>
    <w:rsid w:val="55F53B68"/>
    <w:rsid w:val="56336B82"/>
    <w:rsid w:val="56796ABF"/>
    <w:rsid w:val="570219CD"/>
    <w:rsid w:val="572528F9"/>
    <w:rsid w:val="58966A77"/>
    <w:rsid w:val="59DDFC36"/>
    <w:rsid w:val="59F45004"/>
    <w:rsid w:val="5A550EA5"/>
    <w:rsid w:val="5A5A488B"/>
    <w:rsid w:val="5B0608E3"/>
    <w:rsid w:val="5B3E64BE"/>
    <w:rsid w:val="5BBF6E05"/>
    <w:rsid w:val="5BED535D"/>
    <w:rsid w:val="5BF322C4"/>
    <w:rsid w:val="5C3B6762"/>
    <w:rsid w:val="5C3DF2DD"/>
    <w:rsid w:val="5D245401"/>
    <w:rsid w:val="5D6361C4"/>
    <w:rsid w:val="5DB50E4A"/>
    <w:rsid w:val="5DEA73A2"/>
    <w:rsid w:val="5E4D0988"/>
    <w:rsid w:val="5EBBD29B"/>
    <w:rsid w:val="5EBD517B"/>
    <w:rsid w:val="5EDF9B4B"/>
    <w:rsid w:val="5F200B07"/>
    <w:rsid w:val="5F5E4D67"/>
    <w:rsid w:val="5FBFFCE5"/>
    <w:rsid w:val="5FEF433D"/>
    <w:rsid w:val="60496758"/>
    <w:rsid w:val="60DC6F0C"/>
    <w:rsid w:val="61811507"/>
    <w:rsid w:val="61D45503"/>
    <w:rsid w:val="621D0001"/>
    <w:rsid w:val="62986281"/>
    <w:rsid w:val="63637257"/>
    <w:rsid w:val="64172445"/>
    <w:rsid w:val="66BCC38C"/>
    <w:rsid w:val="671D539B"/>
    <w:rsid w:val="673E3B14"/>
    <w:rsid w:val="677840D0"/>
    <w:rsid w:val="67EF1790"/>
    <w:rsid w:val="67FFBA07"/>
    <w:rsid w:val="683A638D"/>
    <w:rsid w:val="68F76880"/>
    <w:rsid w:val="69220889"/>
    <w:rsid w:val="6B7EE647"/>
    <w:rsid w:val="6BB5E47D"/>
    <w:rsid w:val="6BCE38BE"/>
    <w:rsid w:val="6BDE7808"/>
    <w:rsid w:val="6BFF2C6B"/>
    <w:rsid w:val="6BFFE568"/>
    <w:rsid w:val="6C27567D"/>
    <w:rsid w:val="6D13444A"/>
    <w:rsid w:val="6D673A8B"/>
    <w:rsid w:val="6D67FECE"/>
    <w:rsid w:val="6D6F3916"/>
    <w:rsid w:val="6D875C64"/>
    <w:rsid w:val="6DBD5004"/>
    <w:rsid w:val="6DE5215B"/>
    <w:rsid w:val="6E5F07A0"/>
    <w:rsid w:val="6ECE5C9A"/>
    <w:rsid w:val="6EED5393"/>
    <w:rsid w:val="6F7E2607"/>
    <w:rsid w:val="6FB0356D"/>
    <w:rsid w:val="6FC89E6A"/>
    <w:rsid w:val="6FF78C7E"/>
    <w:rsid w:val="6FF79CE2"/>
    <w:rsid w:val="6FFD276C"/>
    <w:rsid w:val="6FFFAD30"/>
    <w:rsid w:val="7026010C"/>
    <w:rsid w:val="708E6837"/>
    <w:rsid w:val="718B0CD8"/>
    <w:rsid w:val="71DC5974"/>
    <w:rsid w:val="72943709"/>
    <w:rsid w:val="737715B7"/>
    <w:rsid w:val="737A689B"/>
    <w:rsid w:val="74000D2F"/>
    <w:rsid w:val="74511255"/>
    <w:rsid w:val="747EE0AF"/>
    <w:rsid w:val="750B356A"/>
    <w:rsid w:val="755B168E"/>
    <w:rsid w:val="757995F5"/>
    <w:rsid w:val="759727BC"/>
    <w:rsid w:val="76066838"/>
    <w:rsid w:val="76660B4B"/>
    <w:rsid w:val="76A209B0"/>
    <w:rsid w:val="76DEDA9D"/>
    <w:rsid w:val="7728448C"/>
    <w:rsid w:val="775536C6"/>
    <w:rsid w:val="779B6511"/>
    <w:rsid w:val="77F62121"/>
    <w:rsid w:val="77FF3D96"/>
    <w:rsid w:val="78A02CD7"/>
    <w:rsid w:val="7A5113F9"/>
    <w:rsid w:val="7A7F0D2C"/>
    <w:rsid w:val="7AD33A6E"/>
    <w:rsid w:val="7AF549A2"/>
    <w:rsid w:val="7B7E2CEE"/>
    <w:rsid w:val="7B8C25DF"/>
    <w:rsid w:val="7BBE5501"/>
    <w:rsid w:val="7BDD79BA"/>
    <w:rsid w:val="7BED8786"/>
    <w:rsid w:val="7BFB511D"/>
    <w:rsid w:val="7BFE1E13"/>
    <w:rsid w:val="7CC962C6"/>
    <w:rsid w:val="7CDF426A"/>
    <w:rsid w:val="7CF377C1"/>
    <w:rsid w:val="7D5D1803"/>
    <w:rsid w:val="7D6914A5"/>
    <w:rsid w:val="7DE39981"/>
    <w:rsid w:val="7E1B01F2"/>
    <w:rsid w:val="7E59FD60"/>
    <w:rsid w:val="7E777FC9"/>
    <w:rsid w:val="7E7E2BC4"/>
    <w:rsid w:val="7E817943"/>
    <w:rsid w:val="7ED44EC4"/>
    <w:rsid w:val="7EDD6659"/>
    <w:rsid w:val="7EFB8977"/>
    <w:rsid w:val="7EFD2671"/>
    <w:rsid w:val="7F0F3E42"/>
    <w:rsid w:val="7F1EEF94"/>
    <w:rsid w:val="7F47795F"/>
    <w:rsid w:val="7F5E86DC"/>
    <w:rsid w:val="7F6FB23F"/>
    <w:rsid w:val="7F7BAE81"/>
    <w:rsid w:val="7F7DC623"/>
    <w:rsid w:val="7F95874B"/>
    <w:rsid w:val="7FB71FC8"/>
    <w:rsid w:val="7FBDDB16"/>
    <w:rsid w:val="7FBFB3EF"/>
    <w:rsid w:val="7FC62135"/>
    <w:rsid w:val="7FEE4676"/>
    <w:rsid w:val="7FEE558B"/>
    <w:rsid w:val="7FF3CFE4"/>
    <w:rsid w:val="7FFD4205"/>
    <w:rsid w:val="7FFF7B26"/>
    <w:rsid w:val="7FFFD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4A432"/>
  <w15:docId w15:val="{F2190EB8-794F-4065-BCB5-F0DF8E8F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pPr>
      <w:ind w:left="2028"/>
    </w:pPr>
    <w:rPr>
      <w:rFonts w:ascii="宋体" w:eastAsia="宋体" w:hAnsi="宋体"/>
      <w:sz w:val="24"/>
      <w:szCs w:val="24"/>
    </w:rPr>
  </w:style>
  <w:style w:type="paragraph" w:styleId="a5">
    <w:name w:val="Balloon Text"/>
    <w:basedOn w:val="a"/>
    <w:link w:val="a6"/>
    <w:uiPriority w:val="99"/>
    <w:semiHidden/>
    <w:unhideWhenUsed/>
    <w:rPr>
      <w:rFonts w:ascii="Microsoft YaHei UI" w:eastAsia="Microsoft YaHei UI"/>
      <w:sz w:val="18"/>
      <w:szCs w:val="18"/>
    </w:rPr>
  </w:style>
  <w:style w:type="paragraph" w:styleId="a7">
    <w:name w:val="footer"/>
    <w:basedOn w:val="a"/>
    <w:link w:val="a8"/>
    <w:uiPriority w:val="99"/>
    <w:unhideWhenUsed/>
    <w:pPr>
      <w:tabs>
        <w:tab w:val="center" w:pos="4153"/>
        <w:tab w:val="right" w:pos="8306"/>
      </w:tabs>
    </w:pPr>
  </w:style>
  <w:style w:type="paragraph" w:styleId="a9">
    <w:name w:val="header"/>
    <w:basedOn w:val="a"/>
    <w:link w:val="aa"/>
    <w:uiPriority w:val="99"/>
    <w:unhideWhenUsed/>
    <w:qFormat/>
    <w:pPr>
      <w:tabs>
        <w:tab w:val="center" w:pos="4153"/>
        <w:tab w:val="right" w:pos="8306"/>
      </w:tabs>
    </w:pPr>
  </w:style>
  <w:style w:type="paragraph" w:styleId="ab">
    <w:name w:val="Normal (Web)"/>
    <w:basedOn w:val="a"/>
    <w:uiPriority w:val="99"/>
    <w:semiHidden/>
    <w:unhideWhenUsed/>
    <w:qFormat/>
    <w:pPr>
      <w:spacing w:beforeAutospacing="1" w:afterAutospacing="1"/>
    </w:pPr>
    <w:rPr>
      <w:rFonts w:cs="Times New Roman"/>
      <w:sz w:val="24"/>
      <w:lang w:eastAsia="zh-CN"/>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1"/>
    <w:rPr>
      <w:rFonts w:ascii="宋体" w:eastAsia="宋体" w:hAnsi="宋体"/>
      <w:kern w:val="0"/>
      <w:sz w:val="24"/>
      <w:szCs w:val="24"/>
      <w:lang w:eastAsia="en-US"/>
    </w:rPr>
  </w:style>
  <w:style w:type="paragraph" w:customStyle="1" w:styleId="TableParagraph">
    <w:name w:val="Table Paragraph"/>
    <w:basedOn w:val="a"/>
    <w:uiPriority w:val="1"/>
    <w:qFormat/>
  </w:style>
  <w:style w:type="character" w:customStyle="1" w:styleId="a6">
    <w:name w:val="批注框文本 字符"/>
    <w:basedOn w:val="a0"/>
    <w:link w:val="a5"/>
    <w:uiPriority w:val="99"/>
    <w:semiHidden/>
    <w:rPr>
      <w:rFonts w:ascii="Microsoft YaHei UI" w:eastAsia="Microsoft YaHei UI"/>
      <w:kern w:val="0"/>
      <w:sz w:val="18"/>
      <w:szCs w:val="18"/>
      <w:lang w:eastAsia="en-US"/>
    </w:rPr>
  </w:style>
  <w:style w:type="paragraph" w:styleId="ad">
    <w:name w:val="List Paragraph"/>
    <w:basedOn w:val="a"/>
    <w:uiPriority w:val="34"/>
    <w:qFormat/>
    <w:pPr>
      <w:ind w:firstLineChars="200" w:firstLine="420"/>
      <w:jc w:val="both"/>
    </w:pPr>
    <w:rPr>
      <w:kern w:val="2"/>
      <w:sz w:val="21"/>
      <w:lang w:eastAsia="zh-CN"/>
    </w:rPr>
  </w:style>
  <w:style w:type="character" w:customStyle="1" w:styleId="aa">
    <w:name w:val="页眉 字符"/>
    <w:basedOn w:val="a0"/>
    <w:link w:val="a9"/>
    <w:uiPriority w:val="99"/>
    <w:qFormat/>
    <w:rPr>
      <w:kern w:val="0"/>
      <w:sz w:val="22"/>
      <w:lang w:eastAsia="en-US"/>
    </w:rPr>
  </w:style>
  <w:style w:type="character" w:customStyle="1" w:styleId="a8">
    <w:name w:val="页脚 字符"/>
    <w:basedOn w:val="a0"/>
    <w:link w:val="a7"/>
    <w:uiPriority w:val="99"/>
    <w:rPr>
      <w:kern w:val="0"/>
      <w:sz w:val="22"/>
      <w:lang w:eastAsia="en-US"/>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e">
    <w:name w:val="Revision"/>
    <w:hidden/>
    <w:uiPriority w:val="99"/>
    <w:unhideWhenUsed/>
    <w:rsid w:val="00EC5A68"/>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鑫海 周</dc:creator>
  <cp:lastModifiedBy>晓西 胡</cp:lastModifiedBy>
  <cp:revision>2</cp:revision>
  <dcterms:created xsi:type="dcterms:W3CDTF">2024-11-10T01:25:00Z</dcterms:created>
  <dcterms:modified xsi:type="dcterms:W3CDTF">2024-11-14T12:05:00Z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C2BD22233D2242DDBE1D614B6E627E76</vt:lpwstr>
  </property>
</Properties>
</file>