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B099D">
      <w:pPr>
        <w:pStyle w:val="2"/>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603019</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中科曙光</w:t>
      </w:r>
    </w:p>
    <w:p w14:paraId="7E52E5F5">
      <w:pPr>
        <w:spacing w:line="360" w:lineRule="auto"/>
        <w:jc w:val="center"/>
        <w:rPr>
          <w:rFonts w:hint="eastAsia" w:ascii="宋体" w:hAnsi="宋体" w:eastAsia="宋体" w:cs="宋体"/>
          <w:b/>
          <w:bCs/>
          <w:sz w:val="32"/>
          <w:szCs w:val="32"/>
        </w:rPr>
      </w:pPr>
    </w:p>
    <w:p w14:paraId="5E634304">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曙光信息产业股份有限公司</w:t>
      </w:r>
    </w:p>
    <w:p w14:paraId="1AECE350">
      <w:pPr>
        <w:spacing w:line="360" w:lineRule="auto"/>
        <w:jc w:val="center"/>
        <w:rPr>
          <w:rFonts w:ascii="宋体" w:hAnsi="宋体" w:eastAsia="宋体" w:cs="宋体"/>
          <w:sz w:val="32"/>
          <w:szCs w:val="32"/>
        </w:rPr>
      </w:pPr>
      <w:r>
        <w:rPr>
          <w:rFonts w:hint="eastAsia" w:ascii="宋体" w:hAnsi="宋体" w:eastAsia="宋体" w:cs="宋体"/>
          <w:b/>
          <w:bCs/>
          <w:sz w:val="32"/>
          <w:szCs w:val="32"/>
        </w:rPr>
        <w:t>投资者关系活动记录表</w:t>
      </w:r>
      <w:bookmarkStart w:id="0" w:name="_GoBack"/>
      <w:bookmarkEnd w:id="0"/>
    </w:p>
    <w:p w14:paraId="75D780EC">
      <w:pPr>
        <w:spacing w:before="51" w:after="32" w:line="360" w:lineRule="auto"/>
        <w:ind w:right="619"/>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编号：</w:t>
      </w:r>
      <w:r>
        <w:rPr>
          <w:rFonts w:hint="eastAsia" w:ascii="宋体" w:hAnsi="宋体" w:eastAsia="宋体" w:cs="宋体"/>
          <w:sz w:val="24"/>
          <w:szCs w:val="24"/>
          <w:lang w:val="en-US"/>
        </w:rPr>
        <w:t>2024</w:t>
      </w:r>
      <w:r>
        <w:rPr>
          <w:rFonts w:hint="eastAsia" w:ascii="宋体" w:hAnsi="宋体" w:eastAsia="宋体" w:cs="宋体"/>
          <w:sz w:val="24"/>
          <w:szCs w:val="24"/>
        </w:rPr>
        <w:t>-</w:t>
      </w:r>
      <w:r>
        <w:rPr>
          <w:rFonts w:hint="eastAsia" w:ascii="宋体" w:hAnsi="宋体" w:eastAsia="宋体" w:cs="宋体"/>
          <w:sz w:val="24"/>
          <w:szCs w:val="24"/>
          <w:lang w:val="en-US" w:eastAsia="zh-CN"/>
        </w:rPr>
        <w:t>003</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924"/>
        <w:gridCol w:w="6601"/>
      </w:tblGrid>
      <w:tr w14:paraId="6679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924" w:type="dxa"/>
            <w:vAlign w:val="center"/>
          </w:tcPr>
          <w:p w14:paraId="090CFC1B">
            <w:pPr>
              <w:pStyle w:val="12"/>
              <w:spacing w:before="1" w:line="360" w:lineRule="auto"/>
              <w:ind w:left="107"/>
              <w:jc w:val="both"/>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6601" w:type="dxa"/>
            <w:vAlign w:val="center"/>
          </w:tcPr>
          <w:p w14:paraId="23934DA3">
            <w:pPr>
              <w:pStyle w:val="12"/>
              <w:tabs>
                <w:tab w:val="left" w:pos="2418"/>
              </w:tabs>
              <w:spacing w:before="1" w:line="360" w:lineRule="auto"/>
              <w:ind w:left="107"/>
              <w:jc w:val="both"/>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4ED4B509">
            <w:pPr>
              <w:pStyle w:val="12"/>
              <w:tabs>
                <w:tab w:val="left" w:pos="2418"/>
              </w:tabs>
              <w:spacing w:line="360" w:lineRule="auto"/>
              <w:ind w:left="107"/>
              <w:jc w:val="both"/>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658AD6FD">
            <w:pPr>
              <w:pStyle w:val="12"/>
              <w:tabs>
                <w:tab w:val="left" w:pos="2418"/>
              </w:tabs>
              <w:spacing w:line="360" w:lineRule="auto"/>
              <w:ind w:left="107"/>
              <w:jc w:val="both"/>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176F178E">
            <w:pPr>
              <w:pStyle w:val="12"/>
              <w:spacing w:line="360" w:lineRule="auto"/>
              <w:ind w:left="107"/>
              <w:jc w:val="both"/>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0A5CD5D7">
            <w:pPr>
              <w:pStyle w:val="12"/>
              <w:spacing w:line="360" w:lineRule="auto"/>
              <w:ind w:left="107"/>
              <w:jc w:val="both"/>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14:paraId="0FD8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924" w:type="dxa"/>
            <w:vAlign w:val="center"/>
          </w:tcPr>
          <w:p w14:paraId="09F486B9">
            <w:pPr>
              <w:pStyle w:val="12"/>
              <w:spacing w:line="360" w:lineRule="auto"/>
              <w:ind w:left="107" w:right="96"/>
              <w:jc w:val="both"/>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6601" w:type="dxa"/>
            <w:vAlign w:val="center"/>
          </w:tcPr>
          <w:p w14:paraId="6E6F9C0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线上参与公司2024年第三季度业绩说明会的投资者</w:t>
            </w:r>
          </w:p>
        </w:tc>
      </w:tr>
      <w:tr w14:paraId="7F8E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24" w:type="dxa"/>
            <w:vAlign w:val="center"/>
          </w:tcPr>
          <w:p w14:paraId="50596226">
            <w:pPr>
              <w:pStyle w:val="12"/>
              <w:spacing w:line="360" w:lineRule="auto"/>
              <w:ind w:left="107"/>
              <w:jc w:val="both"/>
              <w:rPr>
                <w:rFonts w:hint="eastAsia" w:ascii="宋体" w:hAnsi="宋体" w:eastAsia="宋体" w:cs="宋体"/>
                <w:b/>
                <w:bCs/>
                <w:sz w:val="24"/>
                <w:szCs w:val="24"/>
              </w:rPr>
            </w:pPr>
            <w:r>
              <w:rPr>
                <w:rFonts w:hint="eastAsia" w:ascii="宋体" w:hAnsi="宋体" w:eastAsia="宋体" w:cs="宋体"/>
                <w:b/>
                <w:bCs/>
                <w:sz w:val="24"/>
                <w:szCs w:val="24"/>
              </w:rPr>
              <w:t>时间</w:t>
            </w:r>
          </w:p>
        </w:tc>
        <w:tc>
          <w:tcPr>
            <w:tcW w:w="6601" w:type="dxa"/>
            <w:vAlign w:val="center"/>
          </w:tcPr>
          <w:p w14:paraId="28C2A765">
            <w:pPr>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2024年11月15日 15:00-16:30</w:t>
            </w:r>
          </w:p>
        </w:tc>
      </w:tr>
      <w:tr w14:paraId="1B693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924" w:type="dxa"/>
            <w:vAlign w:val="center"/>
          </w:tcPr>
          <w:p w14:paraId="092628A7">
            <w:pPr>
              <w:pStyle w:val="12"/>
              <w:spacing w:line="360" w:lineRule="auto"/>
              <w:ind w:left="107"/>
              <w:jc w:val="both"/>
              <w:rPr>
                <w:rFonts w:hint="eastAsia" w:ascii="宋体" w:hAnsi="宋体" w:eastAsia="宋体" w:cs="宋体"/>
                <w:b/>
                <w:bCs/>
                <w:sz w:val="24"/>
                <w:szCs w:val="24"/>
              </w:rPr>
            </w:pPr>
            <w:r>
              <w:rPr>
                <w:rFonts w:hint="eastAsia" w:ascii="宋体" w:hAnsi="宋体" w:eastAsia="宋体" w:cs="宋体"/>
                <w:b/>
                <w:bCs/>
                <w:sz w:val="24"/>
                <w:szCs w:val="24"/>
              </w:rPr>
              <w:t>地点</w:t>
            </w:r>
          </w:p>
        </w:tc>
        <w:tc>
          <w:tcPr>
            <w:tcW w:w="6601" w:type="dxa"/>
            <w:vAlign w:val="center"/>
          </w:tcPr>
          <w:p w14:paraId="2849F49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价值在线（https://www.ir-online.cn/）网络互动</w:t>
            </w:r>
          </w:p>
        </w:tc>
      </w:tr>
      <w:tr w14:paraId="735E4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24" w:type="dxa"/>
            <w:vAlign w:val="center"/>
          </w:tcPr>
          <w:p w14:paraId="47D16B05">
            <w:pPr>
              <w:pStyle w:val="12"/>
              <w:spacing w:before="1" w:line="360" w:lineRule="auto"/>
              <w:ind w:left="107"/>
              <w:jc w:val="both"/>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6601" w:type="dxa"/>
            <w:vAlign w:val="center"/>
          </w:tcPr>
          <w:p w14:paraId="75B6531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董事、总裁 历军</w:t>
            </w:r>
            <w:r>
              <w:rPr>
                <w:rFonts w:hint="eastAsia" w:ascii="宋体" w:hAnsi="宋体" w:eastAsia="宋体" w:cs="宋体"/>
                <w:sz w:val="24"/>
                <w:szCs w:val="24"/>
              </w:rPr>
              <w:br w:type="textWrapping"/>
            </w:r>
            <w:r>
              <w:rPr>
                <w:rFonts w:hint="eastAsia" w:ascii="宋体" w:hAnsi="宋体" w:eastAsia="宋体" w:cs="宋体"/>
                <w:sz w:val="24"/>
                <w:szCs w:val="24"/>
              </w:rPr>
              <w:t>财务总监、董事会秘书 翁启南</w:t>
            </w:r>
            <w:r>
              <w:rPr>
                <w:rFonts w:hint="eastAsia" w:ascii="宋体" w:hAnsi="宋体" w:eastAsia="宋体" w:cs="宋体"/>
                <w:sz w:val="24"/>
                <w:szCs w:val="24"/>
              </w:rPr>
              <w:br w:type="textWrapping"/>
            </w:r>
            <w:r>
              <w:rPr>
                <w:rFonts w:hint="eastAsia" w:ascii="宋体" w:hAnsi="宋体" w:eastAsia="宋体" w:cs="宋体"/>
                <w:sz w:val="24"/>
                <w:szCs w:val="24"/>
              </w:rPr>
              <w:t>董事、高级副总裁 李斌</w:t>
            </w:r>
            <w:r>
              <w:rPr>
                <w:rFonts w:hint="eastAsia" w:ascii="宋体" w:hAnsi="宋体" w:eastAsia="宋体" w:cs="宋体"/>
                <w:sz w:val="24"/>
                <w:szCs w:val="24"/>
              </w:rPr>
              <w:br w:type="textWrapping"/>
            </w:r>
            <w:r>
              <w:rPr>
                <w:rFonts w:hint="eastAsia" w:ascii="宋体" w:hAnsi="宋体" w:eastAsia="宋体" w:cs="宋体"/>
                <w:sz w:val="24"/>
                <w:szCs w:val="24"/>
              </w:rPr>
              <w:t>监事、证券事务代表 王伟成</w:t>
            </w:r>
            <w:r>
              <w:rPr>
                <w:rFonts w:hint="eastAsia" w:ascii="宋体" w:hAnsi="宋体" w:eastAsia="宋体" w:cs="宋体"/>
                <w:sz w:val="24"/>
                <w:szCs w:val="24"/>
              </w:rPr>
              <w:br w:type="textWrapping"/>
            </w:r>
            <w:r>
              <w:rPr>
                <w:rFonts w:hint="eastAsia" w:ascii="宋体" w:hAnsi="宋体" w:eastAsia="宋体" w:cs="宋体"/>
                <w:sz w:val="24"/>
                <w:szCs w:val="24"/>
              </w:rPr>
              <w:t>独立董事 郑永琴</w:t>
            </w:r>
            <w:r>
              <w:rPr>
                <w:rFonts w:hint="eastAsia" w:ascii="宋体" w:hAnsi="宋体" w:eastAsia="宋体" w:cs="宋体"/>
                <w:sz w:val="24"/>
                <w:szCs w:val="24"/>
              </w:rPr>
              <w:br w:type="textWrapping"/>
            </w:r>
            <w:r>
              <w:rPr>
                <w:rFonts w:hint="eastAsia" w:ascii="宋体" w:hAnsi="宋体" w:eastAsia="宋体" w:cs="宋体"/>
                <w:sz w:val="24"/>
                <w:szCs w:val="24"/>
              </w:rPr>
              <w:t>独立董事 殷绪成</w:t>
            </w:r>
            <w:r>
              <w:rPr>
                <w:rFonts w:hint="eastAsia" w:ascii="宋体" w:hAnsi="宋体" w:eastAsia="宋体" w:cs="宋体"/>
                <w:sz w:val="24"/>
                <w:szCs w:val="24"/>
              </w:rPr>
              <w:br w:type="textWrapping"/>
            </w:r>
            <w:r>
              <w:rPr>
                <w:rFonts w:hint="eastAsia" w:ascii="宋体" w:hAnsi="宋体" w:eastAsia="宋体" w:cs="宋体"/>
                <w:sz w:val="24"/>
                <w:szCs w:val="24"/>
              </w:rPr>
              <w:t>独立董事 戴淑芬</w:t>
            </w:r>
          </w:p>
        </w:tc>
      </w:tr>
      <w:tr w14:paraId="7023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924" w:type="dxa"/>
            <w:vAlign w:val="center"/>
          </w:tcPr>
          <w:p w14:paraId="60616A96">
            <w:pPr>
              <w:pStyle w:val="12"/>
              <w:spacing w:line="360" w:lineRule="auto"/>
              <w:jc w:val="both"/>
              <w:rPr>
                <w:rFonts w:hint="eastAsia" w:ascii="宋体" w:hAnsi="宋体" w:eastAsia="宋体" w:cs="宋体"/>
                <w:b/>
                <w:bCs/>
                <w:sz w:val="24"/>
                <w:szCs w:val="24"/>
              </w:rPr>
            </w:pPr>
          </w:p>
          <w:p w14:paraId="12F1FFA7">
            <w:pPr>
              <w:pStyle w:val="12"/>
              <w:spacing w:line="360" w:lineRule="auto"/>
              <w:jc w:val="both"/>
              <w:rPr>
                <w:rFonts w:hint="eastAsia" w:ascii="宋体" w:hAnsi="宋体" w:eastAsia="宋体" w:cs="宋体"/>
                <w:b/>
                <w:bCs/>
                <w:sz w:val="24"/>
                <w:szCs w:val="24"/>
              </w:rPr>
            </w:pPr>
          </w:p>
          <w:p w14:paraId="504A2C69">
            <w:pPr>
              <w:pStyle w:val="12"/>
              <w:spacing w:before="5" w:line="360" w:lineRule="auto"/>
              <w:jc w:val="both"/>
              <w:rPr>
                <w:rFonts w:hint="eastAsia" w:ascii="宋体" w:hAnsi="宋体" w:eastAsia="宋体" w:cs="宋体"/>
                <w:b/>
                <w:bCs/>
                <w:sz w:val="24"/>
                <w:szCs w:val="24"/>
              </w:rPr>
            </w:pPr>
          </w:p>
          <w:p w14:paraId="5A3229D6">
            <w:pPr>
              <w:pStyle w:val="12"/>
              <w:spacing w:before="1" w:line="360" w:lineRule="auto"/>
              <w:ind w:left="107" w:right="96"/>
              <w:jc w:val="both"/>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601" w:type="dxa"/>
            <w:vAlign w:val="center"/>
          </w:tcPr>
          <w:p w14:paraId="22A2B69E">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历总好，作为小股民感谢曙光管理层，想请您介绍一下公司5年，10年，或更长时间公司规划或者远景，非常感谢。</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非常感谢您对公司的支持。中科曙光始终坚定不移的以振兴中国民族信息产业、为信息化社会提供优质的产品服务为使命，服务国家发展壮大战略性新兴产业战略。公司将继续依托自身先进的计算能力与多年行业经验，面向新质生产力发展要求，坚持自研技术创新，打造全闪集中式存储、浸没相变液冷技术、以DAS为核心的AI平台、“城市云”平台等行业领先的软硬件技术及全栈化平台能力，为新质生产力夯实发展底座；部署智算中心及大数据中心建设，构建算力网络，布局算力一体化服务，链接资源协同发展；围绕数实融合、产学研融合、商业模式融合三大方面持续深耕，推动生态聚力融合。感谢您对公司的关注。</w:t>
            </w:r>
          </w:p>
          <w:p w14:paraId="43404E31">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请历总介绍一下全国一体化算力中心的建设情况</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中科曙光在算力中心建设方面具有相对较强的技术和产品优势，近年来参与了相关算力中心的建设工作，且通过自研的一体化算力服务平台，实现算力中心资源打通，一定程度上解决资源隔断和算力分配不均的问题。感谢您对公司的关注。</w:t>
            </w:r>
          </w:p>
          <w:p w14:paraId="31C17E27">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从前几年的财务数据看，是不是一般来说公司都是在四季度确认收入会比较多？</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答:您好，公司营业收入前三季度保持稳定增长，公司收入增速受各业务板块市场需求、业务规划等多种因素影响，公司将继续努力做好生产经营工作。感谢您对公司的关注。</w:t>
            </w:r>
          </w:p>
          <w:p w14:paraId="006E4AE3">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请问贵公司在应对卡脖子，脱钩断链的新态势方面是否继续胸有成竹</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公司自2019年公司被列入实体清单后，持续加强自主创新，同时加强与产业链上下游的合作。目前，公司紧密关注可能影响产业链的相关外部信息，如海外加紧对我国科技产业的制裁，公司会积极应对，努力降低可能对公司及行业带来的潜在影响。感谢您对公司的关注。</w:t>
            </w:r>
          </w:p>
          <w:p w14:paraId="5C2E68E5">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目前受人工智能产业发展带动，算力需求增长。国内入局算力的厂商众多，竞争是否明显？目前在算力供需方面，公司是否看到了一些新的趋势和变化？下一步是否有哪些业务上的策略？</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算力产业链包括上游芯片、服务器及基础设施、软件栈及服务等多个环节。目前国内算力厂商百花齐放，出现一些新的参与者，尽管竞争有所加剧，但面对国内日益增长的算力需求、国产替代需求，市场空间不断提升。国内各厂商在各自专业领域分工协作，共同提升算力基础设施的性能。公司将继续专注核心产品的研发及产业化，同时继续与产业链上下游合作。感谢您对公司的关注。</w:t>
            </w:r>
          </w:p>
          <w:p w14:paraId="5A1AB1CB">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“数字中国”高质量发展计划令人动容。作为以技术创新为基因的科技企业，如何在自身技术研发人才的吸引与托举宏伟计划的效率上做一个平衡。</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人才是高科技企业高质量发展的关键因素，公司通过适度提高关键岗位人才的薪酬水平及开展员工股权激励计划，充分发挥薪酬和股权在人力资源配置和吸引优秀人才方面的导向作用；在人才培养方面，建立健内部培训体系和培训课程体系，关注员工的能力提升和职业化发展，通过多种方式鼓励和促进员工技能提升，实现员工和公司的共同发展，进一步提升公司的核心竞争力。感谢您的关注！</w:t>
            </w:r>
          </w:p>
          <w:p w14:paraId="67C6E57D">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海光信息等参股公司股价上涨，公司会确认收益吗？</w:t>
            </w:r>
            <w:r>
              <w:rPr>
                <w:rFonts w:hint="eastAsia" w:ascii="宋体" w:hAnsi="宋体" w:eastAsia="宋体" w:cs="宋体"/>
                <w:b/>
                <w:sz w:val="24"/>
                <w:szCs w:val="24"/>
              </w:rPr>
              <w:br w:type="textWrapping"/>
            </w:r>
            <w:r>
              <w:rPr>
                <w:rFonts w:hint="eastAsia" w:ascii="宋体" w:hAnsi="宋体" w:eastAsia="宋体" w:cs="宋体"/>
                <w:b w:val="0"/>
                <w:sz w:val="24"/>
                <w:szCs w:val="24"/>
              </w:rPr>
              <w:t xml:space="preserve">    答:您好，海光信息为公司联营企业，公司按照应享有或应分担的被投资单位实现的净损益确认投资收益。感谢您对公司的关注。</w:t>
            </w:r>
          </w:p>
          <w:p w14:paraId="4AABA2B5">
            <w:pPr>
              <w:pStyle w:val="12"/>
              <w:keepNext w:val="0"/>
              <w:keepLines w:val="0"/>
              <w:pageBreakBefore w:val="0"/>
              <w:widowControl w:val="0"/>
              <w:numPr>
                <w:ilvl w:val="0"/>
                <w:numId w:val="1"/>
              </w:numPr>
              <w:kinsoku/>
              <w:wordWrap/>
              <w:overflowPunct/>
              <w:topLinePunct w:val="0"/>
              <w:autoSpaceDE w:val="0"/>
              <w:autoSpaceDN w:val="0"/>
              <w:bidi w:val="0"/>
              <w:adjustRightInd/>
              <w:snapToGrid/>
              <w:spacing w:before="100" w:beforeAutospacing="1" w:line="360" w:lineRule="auto"/>
              <w:ind w:left="-42" w:leftChars="0" w:firstLine="482"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中科曙光归属于中科院计算机研究所旗下，同时旗下也有寒武纪、龙芯中科几家国产AI芯片上市公司。寒武纪、龙芯中科、海光信息的芯片的研究和布局方向有什么异同点？（包括国产芯片企业景嘉微）
中科曙光和寒武纪、龙芯中科通属中科院计算机研究所旗下，目前是否有业务上的协调？</w:t>
            </w:r>
            <w:r>
              <w:rPr>
                <w:rFonts w:hint="eastAsia" w:ascii="宋体" w:hAnsi="宋体" w:eastAsia="宋体" w:cs="宋体"/>
                <w:b/>
                <w:sz w:val="24"/>
                <w:szCs w:val="24"/>
              </w:rPr>
              <w:br w:type="textWrapping"/>
            </w:r>
            <w:r>
              <w:rPr>
                <w:rFonts w:ascii="宋体" w:hAnsi="宋体" w:eastAsia="宋体" w:cs="宋体"/>
                <w:b w:val="0"/>
                <w:sz w:val="20"/>
              </w:rPr>
              <w:t xml:space="preserve">   </w:t>
            </w:r>
            <w:r>
              <w:rPr>
                <w:rFonts w:hint="eastAsia" w:ascii="宋体" w:hAnsi="宋体" w:eastAsia="宋体" w:cs="宋体"/>
                <w:b w:val="0"/>
                <w:sz w:val="24"/>
                <w:szCs w:val="24"/>
              </w:rPr>
              <w:t xml:space="preserve"> 答:您好，中国科学院计算技术研究所深耕计算产业，投资孵化了产业链多家优秀企业，各家企业产品在产品架构、应用领域等方面存在一定差异，更多细节请您查阅各家披露的相关信息。公司作为高端计算解决方案的优秀供应商，坚持开放兼容的发展理念，致力建立安全稳定的计算产业生态。公司与包括中国科学院所属企业在内的多家公司开展产品适配、联合研发等合作，共同为国产算力发展提供支持。感谢您对公司的关注。</w:t>
            </w:r>
          </w:p>
          <w:p w14:paraId="7E319994">
            <w:pPr>
              <w:pStyle w:val="12"/>
              <w:keepNext w:val="0"/>
              <w:keepLines w:val="0"/>
              <w:pageBreakBefore w:val="0"/>
              <w:widowControl w:val="0"/>
              <w:numPr>
                <w:numId w:val="0"/>
              </w:numPr>
              <w:kinsoku/>
              <w:wordWrap/>
              <w:overflowPunct/>
              <w:topLinePunct w:val="0"/>
              <w:autoSpaceDE w:val="0"/>
              <w:autoSpaceDN w:val="0"/>
              <w:bidi w:val="0"/>
              <w:adjustRightInd/>
              <w:snapToGrid/>
              <w:spacing w:before="100" w:beforeAutospacing="1"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本次业绩说明会的主要问题回答情况如上，更多互动情况详见“</w:t>
            </w:r>
            <w:r>
              <w:rPr>
                <w:rFonts w:hint="eastAsia" w:ascii="宋体" w:hAnsi="宋体" w:eastAsia="宋体" w:cs="宋体"/>
                <w:sz w:val="24"/>
                <w:szCs w:val="24"/>
              </w:rPr>
              <w:t>价值在线</w:t>
            </w:r>
            <w:r>
              <w:rPr>
                <w:rFonts w:hint="eastAsia" w:ascii="宋体" w:hAnsi="宋体" w:eastAsia="宋体" w:cs="宋体"/>
                <w:sz w:val="24"/>
                <w:szCs w:val="24"/>
                <w:lang w:eastAsia="zh-CN"/>
              </w:rPr>
              <w:t>”</w:t>
            </w:r>
            <w:r>
              <w:rPr>
                <w:rFonts w:hint="eastAsia" w:ascii="宋体" w:hAnsi="宋体" w:eastAsia="宋体" w:cs="宋体"/>
                <w:sz w:val="24"/>
                <w:szCs w:val="24"/>
              </w:rPr>
              <w:t>（https://www.ir-online.cn/）</w:t>
            </w:r>
            <w:r>
              <w:rPr>
                <w:rFonts w:hint="eastAsia" w:ascii="宋体" w:hAnsi="宋体" w:eastAsia="宋体" w:cs="宋体"/>
                <w:sz w:val="24"/>
                <w:szCs w:val="24"/>
                <w:lang w:eastAsia="zh-CN"/>
              </w:rPr>
              <w:t>。</w:t>
            </w:r>
          </w:p>
        </w:tc>
      </w:tr>
      <w:tr w14:paraId="075F6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924" w:type="dxa"/>
            <w:vAlign w:val="center"/>
          </w:tcPr>
          <w:p w14:paraId="11849041">
            <w:pPr>
              <w:pStyle w:val="12"/>
              <w:spacing w:before="1" w:line="360" w:lineRule="auto"/>
              <w:ind w:left="107"/>
              <w:jc w:val="both"/>
              <w:rPr>
                <w:rFonts w:hint="eastAsia" w:ascii="宋体" w:hAnsi="宋体" w:eastAsia="宋体" w:cs="宋体"/>
                <w:b/>
                <w:bCs/>
                <w:sz w:val="24"/>
                <w:szCs w:val="24"/>
              </w:rPr>
            </w:pPr>
            <w:r>
              <w:rPr>
                <w:rFonts w:hint="eastAsia" w:ascii="宋体" w:hAnsi="宋体" w:eastAsia="宋体" w:cs="宋体"/>
                <w:b/>
                <w:bCs/>
                <w:sz w:val="24"/>
                <w:szCs w:val="24"/>
              </w:rPr>
              <w:t>关于本次活动是否涉及应披露重大信息的说明</w:t>
            </w:r>
          </w:p>
        </w:tc>
        <w:tc>
          <w:tcPr>
            <w:tcW w:w="6601" w:type="dxa"/>
            <w:vAlign w:val="center"/>
          </w:tcPr>
          <w:p w14:paraId="718B0B1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本次活动不涉及未公开披露的重大信息。</w:t>
            </w:r>
          </w:p>
        </w:tc>
      </w:tr>
      <w:tr w14:paraId="35960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924" w:type="dxa"/>
            <w:vAlign w:val="center"/>
          </w:tcPr>
          <w:p w14:paraId="575D1253">
            <w:pPr>
              <w:pStyle w:val="12"/>
              <w:spacing w:before="1" w:line="360" w:lineRule="auto"/>
              <w:ind w:left="107" w:leftChars="0"/>
              <w:jc w:val="both"/>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6601" w:type="dxa"/>
            <w:vAlign w:val="center"/>
          </w:tcPr>
          <w:p w14:paraId="043B11B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both"/>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2024年11月15日</w:t>
            </w:r>
          </w:p>
        </w:tc>
      </w:tr>
    </w:tbl>
    <w:p w14:paraId="26D2F1DC">
      <w:pPr>
        <w:spacing w:line="360" w:lineRule="auto"/>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82F0"/>
    <w:multiLevelType w:val="singleLevel"/>
    <w:tmpl w:val="266E82F0"/>
    <w:lvl w:ilvl="0" w:tentative="0">
      <w:start w:val="1"/>
      <w:numFmt w:val="decimal"/>
      <w:suff w:val="nothing"/>
      <w:lvlText w:val="%1．"/>
      <w:lvlJc w:val="left"/>
      <w:pPr>
        <w:ind w:left="-42" w:firstLine="40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ZmMzMmRjYmYxN2Q5NThlOWNhZTU3Yzk3OTViZW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1B4FBD"/>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D1240DD"/>
    <w:rsid w:val="2EF90F16"/>
    <w:rsid w:val="2F125C63"/>
    <w:rsid w:val="302C3D0A"/>
    <w:rsid w:val="3104598F"/>
    <w:rsid w:val="314008BB"/>
    <w:rsid w:val="33DE31BB"/>
    <w:rsid w:val="389C49C0"/>
    <w:rsid w:val="38C60D94"/>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4B345A0"/>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1915</Words>
  <Characters>1982</Characters>
  <Lines>2</Lines>
  <Paragraphs>1</Paragraphs>
  <TotalTime>4</TotalTime>
  <ScaleCrop>false</ScaleCrop>
  <LinksUpToDate>false</LinksUpToDate>
  <CharactersWithSpaces>2068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宸</cp:lastModifiedBy>
  <dcterms:modified xsi:type="dcterms:W3CDTF">2024-11-15T09:40:34Z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57D148DF2F764966BF4E1C38A6255FA2</vt:lpwstr>
  </property>
</Properties>
</file>