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1" w:line="218" w:lineRule="auto"/>
        <w:ind w:left="126"/>
      </w:pPr>
      <w:r>
        <w:rPr>
          <w:b/>
          <w:bCs/>
          <w:spacing w:val="-1"/>
        </w:rPr>
        <w:t>股票代码：</w:t>
      </w:r>
      <w:r>
        <w:rPr>
          <w:rFonts w:hint="eastAsia"/>
          <w:b/>
          <w:bCs/>
          <w:spacing w:val="-1"/>
          <w:lang w:val="en-US" w:eastAsia="zh-CN"/>
        </w:rPr>
        <w:t>603373</w:t>
      </w:r>
      <w:r>
        <w:rPr>
          <w:spacing w:val="-1"/>
        </w:rPr>
        <w:t xml:space="preserve">        </w:t>
      </w:r>
      <w:r>
        <w:rPr>
          <w:rFonts w:hint="eastAsia"/>
          <w:spacing w:val="-1"/>
          <w:lang w:val="en-US" w:eastAsia="zh-CN"/>
        </w:rPr>
        <w:t xml:space="preserve">      </w:t>
      </w:r>
      <w:r>
        <w:rPr>
          <w:rFonts w:hint="default"/>
          <w:spacing w:val="-1"/>
          <w:lang w:val="en-US" w:eastAsia="zh-CN"/>
        </w:rPr>
        <w:t xml:space="preserve">                                </w:t>
      </w:r>
      <w:r>
        <w:rPr>
          <w:b/>
          <w:bCs/>
          <w:spacing w:val="-1"/>
        </w:rPr>
        <w:t>证券简称：</w:t>
      </w:r>
      <w:r>
        <w:rPr>
          <w:rFonts w:hint="eastAsia"/>
          <w:b/>
          <w:bCs/>
          <w:spacing w:val="-1"/>
          <w:lang w:val="en-US" w:eastAsia="zh-CN"/>
        </w:rPr>
        <w:t>安邦护卫</w:t>
      </w:r>
      <w:r>
        <w:rPr>
          <w:spacing w:val="-1"/>
        </w:rPr>
        <w:t xml:space="preserve"> </w:t>
      </w:r>
    </w:p>
    <w:p>
      <w:pPr>
        <w:spacing w:before="117" w:line="220" w:lineRule="auto"/>
        <w:ind w:left="2782"/>
        <w:outlineLvl w:val="0"/>
        <w:rPr>
          <w:rFonts w:ascii="宋体" w:hAnsi="宋体" w:eastAsia="宋体" w:cs="宋体"/>
          <w:b/>
          <w:bCs/>
          <w:spacing w:val="-5"/>
          <w:sz w:val="36"/>
          <w:szCs w:val="36"/>
        </w:rPr>
      </w:pPr>
    </w:p>
    <w:p>
      <w:pPr>
        <w:spacing w:before="117" w:line="220" w:lineRule="auto"/>
        <w:ind w:left="2782"/>
        <w:outlineLvl w:val="0"/>
        <w:rPr>
          <w:rFonts w:ascii="宋体" w:hAnsi="宋体" w:eastAsia="宋体" w:cs="宋体"/>
          <w:sz w:val="36"/>
          <w:szCs w:val="36"/>
        </w:rPr>
      </w:pPr>
      <w:r>
        <w:rPr>
          <w:rFonts w:hint="eastAsia" w:ascii="黑体" w:hAnsi="黑体" w:eastAsia="黑体" w:cs="黑体"/>
          <w:b/>
          <w:bCs/>
          <w:color w:val="FF0000"/>
          <w:spacing w:val="-4"/>
          <w:sz w:val="36"/>
          <w:szCs w:val="36"/>
          <w:lang w:val="en-US" w:eastAsia="zh-CN"/>
        </w:rPr>
        <w:t>安邦护卫集团股份有限</w:t>
      </w:r>
      <w:r>
        <w:rPr>
          <w:rFonts w:ascii="黑体" w:hAnsi="黑体" w:eastAsia="黑体" w:cs="黑体"/>
          <w:b/>
          <w:bCs/>
          <w:color w:val="FF0000"/>
          <w:spacing w:val="-4"/>
          <w:sz w:val="36"/>
          <w:szCs w:val="36"/>
        </w:rPr>
        <w:t>公司</w:t>
      </w:r>
    </w:p>
    <w:p>
      <w:pPr>
        <w:spacing w:before="273" w:line="220" w:lineRule="auto"/>
        <w:ind w:left="3117"/>
        <w:outlineLvl w:val="0"/>
        <w:rPr>
          <w:rFonts w:ascii="宋体" w:hAnsi="宋体" w:eastAsia="宋体" w:cs="宋体"/>
          <w:sz w:val="36"/>
          <w:szCs w:val="36"/>
        </w:rPr>
      </w:pPr>
      <w:r>
        <w:rPr>
          <w:rFonts w:hint="eastAsia" w:ascii="黑体" w:hAnsi="黑体" w:eastAsia="黑体" w:cs="黑体"/>
          <w:b/>
          <w:bCs/>
          <w:color w:val="FF0000"/>
          <w:spacing w:val="-4"/>
          <w:sz w:val="36"/>
          <w:szCs w:val="36"/>
          <w:lang w:val="en-US" w:eastAsia="zh-CN"/>
        </w:rPr>
        <w:t>投资者关系活动记录表</w:t>
      </w:r>
    </w:p>
    <w:p>
      <w:pPr>
        <w:spacing w:line="248" w:lineRule="auto"/>
        <w:rPr>
          <w:rFonts w:ascii="Arial"/>
          <w:sz w:val="21"/>
        </w:rPr>
      </w:pPr>
    </w:p>
    <w:p>
      <w:pPr>
        <w:spacing w:before="78" w:line="220" w:lineRule="auto"/>
        <w:ind w:left="7137" w:firstLine="448" w:firstLineChars="200"/>
        <w:rPr>
          <w:rFonts w:hint="eastAsia" w:ascii="宋体" w:hAnsi="宋体" w:eastAsia="宋体" w:cs="宋体"/>
          <w:sz w:val="24"/>
          <w:szCs w:val="24"/>
          <w:lang w:val="en-US" w:eastAsia="zh-CN"/>
        </w:rPr>
      </w:pPr>
      <w:r>
        <w:rPr>
          <w:rFonts w:ascii="宋体" w:hAnsi="宋体" w:eastAsia="宋体" w:cs="宋体"/>
          <w:spacing w:val="-8"/>
          <w:sz w:val="24"/>
          <w:szCs w:val="24"/>
        </w:rPr>
        <w:t>记录表编号：2024-00</w:t>
      </w:r>
      <w:r>
        <w:rPr>
          <w:rFonts w:hint="eastAsia" w:ascii="宋体" w:hAnsi="宋体" w:eastAsia="宋体" w:cs="宋体"/>
          <w:spacing w:val="-8"/>
          <w:sz w:val="24"/>
          <w:szCs w:val="24"/>
          <w:lang w:val="en-US" w:eastAsia="zh-CN"/>
        </w:rPr>
        <w:t>3</w:t>
      </w:r>
    </w:p>
    <w:p>
      <w:pPr>
        <w:spacing w:line="29" w:lineRule="exact"/>
      </w:pPr>
    </w:p>
    <w:tbl>
      <w:tblPr>
        <w:tblStyle w:val="5"/>
        <w:tblW w:w="100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4"/>
        <w:gridCol w:w="2586"/>
        <w:gridCol w:w="58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9" w:hRule="atLeast"/>
        </w:trPr>
        <w:tc>
          <w:tcPr>
            <w:tcW w:w="1574" w:type="dxa"/>
            <w:vAlign w:val="top"/>
          </w:tcPr>
          <w:p>
            <w:pPr>
              <w:spacing w:line="289" w:lineRule="auto"/>
              <w:rPr>
                <w:rFonts w:ascii="Arial"/>
                <w:sz w:val="21"/>
              </w:rPr>
            </w:pPr>
          </w:p>
          <w:p>
            <w:pPr>
              <w:spacing w:line="289" w:lineRule="auto"/>
              <w:rPr>
                <w:rFonts w:ascii="Arial"/>
                <w:sz w:val="21"/>
              </w:rPr>
            </w:pPr>
          </w:p>
          <w:p>
            <w:pPr>
              <w:pStyle w:val="6"/>
              <w:spacing w:before="78" w:line="230" w:lineRule="auto"/>
              <w:ind w:left="257" w:right="240" w:hanging="121"/>
            </w:pPr>
            <w:r>
              <w:rPr>
                <w:b/>
                <w:bCs/>
                <w:spacing w:val="-5"/>
              </w:rPr>
              <w:t>投资者关系</w:t>
            </w:r>
            <w:r>
              <w:rPr>
                <w:spacing w:val="3"/>
              </w:rPr>
              <w:t xml:space="preserve"> </w:t>
            </w:r>
            <w:r>
              <w:rPr>
                <w:b/>
                <w:bCs/>
                <w:spacing w:val="-5"/>
              </w:rPr>
              <w:t>活动类别</w:t>
            </w:r>
          </w:p>
        </w:tc>
        <w:tc>
          <w:tcPr>
            <w:tcW w:w="2586" w:type="dxa"/>
            <w:tcBorders>
              <w:right w:val="nil"/>
            </w:tcBorders>
            <w:vAlign w:val="top"/>
          </w:tcPr>
          <w:p>
            <w:pPr>
              <w:pStyle w:val="6"/>
              <w:spacing w:before="133" w:line="220" w:lineRule="auto"/>
              <w:ind w:left="140"/>
            </w:pPr>
            <w:r>
              <w:rPr>
                <w:rFonts w:hint="default"/>
                <w:spacing w:val="-5"/>
                <w:lang w:val="en-US" w:eastAsia="zh-CN"/>
              </w:rPr>
              <w:t>□</w:t>
            </w:r>
            <w:r>
              <w:rPr>
                <w:spacing w:val="-5"/>
              </w:rPr>
              <w:t>特定对象调研</w:t>
            </w:r>
          </w:p>
          <w:p>
            <w:pPr>
              <w:pStyle w:val="6"/>
              <w:spacing w:before="196" w:line="219" w:lineRule="auto"/>
              <w:ind w:left="140"/>
            </w:pPr>
            <w:r>
              <w:rPr>
                <w:spacing w:val="-7"/>
              </w:rPr>
              <w:t>□媒体采访</w:t>
            </w:r>
          </w:p>
          <w:p>
            <w:pPr>
              <w:pStyle w:val="6"/>
              <w:spacing w:before="227" w:line="219" w:lineRule="auto"/>
              <w:ind w:left="140"/>
            </w:pPr>
            <w:r>
              <w:rPr>
                <w:spacing w:val="-6"/>
              </w:rPr>
              <w:t>□新闻发布会</w:t>
            </w:r>
          </w:p>
          <w:p>
            <w:pPr>
              <w:pStyle w:val="6"/>
              <w:spacing w:before="267" w:line="220" w:lineRule="auto"/>
              <w:ind w:left="140"/>
            </w:pPr>
            <w:r>
              <w:rPr>
                <w:rFonts w:hint="eastAsia"/>
                <w:spacing w:val="-7"/>
                <w:lang w:val="en-US" w:eastAsia="zh-CN"/>
              </w:rPr>
              <w:t>□</w:t>
            </w:r>
            <w:r>
              <w:rPr>
                <w:spacing w:val="-7"/>
              </w:rPr>
              <w:t>现场参观</w:t>
            </w:r>
          </w:p>
        </w:tc>
        <w:tc>
          <w:tcPr>
            <w:tcW w:w="5864" w:type="dxa"/>
            <w:tcBorders>
              <w:left w:val="nil"/>
            </w:tcBorders>
            <w:vAlign w:val="top"/>
          </w:tcPr>
          <w:p>
            <w:pPr>
              <w:pStyle w:val="6"/>
              <w:spacing w:before="134" w:line="219" w:lineRule="auto"/>
              <w:ind w:left="797"/>
            </w:pPr>
            <w:r>
              <w:rPr>
                <w:spacing w:val="-6"/>
              </w:rPr>
              <w:t>□分析师会议</w:t>
            </w:r>
          </w:p>
          <w:p>
            <w:pPr>
              <w:pStyle w:val="6"/>
              <w:spacing w:before="197" w:line="219" w:lineRule="auto"/>
              <w:ind w:left="797"/>
            </w:pPr>
            <w:r>
              <w:rPr>
                <w:rFonts w:hint="eastAsia"/>
                <w:spacing w:val="-6"/>
                <w:lang w:eastAsia="zh-CN"/>
              </w:rPr>
              <w:t>☑</w:t>
            </w:r>
            <w:r>
              <w:rPr>
                <w:spacing w:val="-6"/>
              </w:rPr>
              <w:t>业绩说明会</w:t>
            </w:r>
          </w:p>
          <w:p>
            <w:pPr>
              <w:pStyle w:val="6"/>
              <w:spacing w:before="226" w:line="220" w:lineRule="auto"/>
              <w:ind w:left="797"/>
            </w:pPr>
            <w:r>
              <w:rPr>
                <w:rFonts w:hint="eastAsia"/>
                <w:spacing w:val="-7"/>
                <w:lang w:eastAsia="zh-CN"/>
              </w:rPr>
              <w:t>□</w:t>
            </w:r>
            <w:r>
              <w:rPr>
                <w:spacing w:val="-7"/>
              </w:rPr>
              <w:t>路演活动</w:t>
            </w:r>
          </w:p>
          <w:p>
            <w:pPr>
              <w:pStyle w:val="6"/>
              <w:spacing w:before="266" w:line="219" w:lineRule="auto"/>
              <w:ind w:left="797"/>
            </w:pPr>
            <w:r>
              <w:rPr>
                <w:rFonts w:hint="eastAsia"/>
                <w:spacing w:val="-7"/>
                <w:lang w:eastAsia="zh-CN"/>
              </w:rPr>
              <w:t>□</w:t>
            </w:r>
            <w:r>
              <w:rPr>
                <w:spacing w:val="-5"/>
              </w:rPr>
              <w:t>其他：电话会议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0" w:hRule="atLeast"/>
        </w:trPr>
        <w:tc>
          <w:tcPr>
            <w:tcW w:w="1574" w:type="dxa"/>
            <w:vAlign w:val="top"/>
          </w:tcPr>
          <w:p>
            <w:pPr>
              <w:pStyle w:val="6"/>
              <w:spacing w:before="310" w:line="230" w:lineRule="auto"/>
              <w:ind w:left="190" w:right="62" w:hanging="117"/>
            </w:pPr>
            <w:r>
              <w:rPr>
                <w:b/>
                <w:bCs/>
                <w:spacing w:val="-4"/>
              </w:rPr>
              <w:t>参与单位名称</w:t>
            </w:r>
            <w:r>
              <w:t xml:space="preserve"> </w:t>
            </w:r>
            <w:r>
              <w:rPr>
                <w:b/>
                <w:bCs/>
                <w:spacing w:val="-4"/>
              </w:rPr>
              <w:t>及人员姓名</w:t>
            </w:r>
          </w:p>
        </w:tc>
        <w:tc>
          <w:tcPr>
            <w:tcW w:w="8450" w:type="dxa"/>
            <w:gridSpan w:val="2"/>
            <w:vAlign w:val="center"/>
          </w:tcPr>
          <w:p>
            <w:pPr>
              <w:pStyle w:val="6"/>
              <w:spacing w:before="153" w:line="232" w:lineRule="auto"/>
              <w:ind w:right="4"/>
              <w:jc w:val="both"/>
            </w:pPr>
            <w:r>
              <w:rPr>
                <w:rFonts w:hint="eastAsia"/>
                <w:lang w:eastAsia="zh-CN"/>
              </w:rPr>
              <w:t>参与本次业绩说明会的</w:t>
            </w:r>
            <w:bookmarkStart w:id="0" w:name="_GoBack"/>
            <w:bookmarkEnd w:id="0"/>
            <w:r>
              <w:rPr>
                <w:rFonts w:hint="eastAsia"/>
              </w:rPr>
              <w:t>投资</w:t>
            </w:r>
            <w:r>
              <w:rPr>
                <w:rFonts w:hint="eastAsia"/>
                <w:lang w:val="en-US" w:eastAsia="zh-CN"/>
              </w:rPr>
              <w:t>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574" w:type="dxa"/>
            <w:vAlign w:val="top"/>
          </w:tcPr>
          <w:p>
            <w:pPr>
              <w:pStyle w:val="6"/>
              <w:spacing w:before="219" w:line="222" w:lineRule="auto"/>
              <w:ind w:left="563"/>
            </w:pPr>
            <w:r>
              <w:rPr>
                <w:b/>
                <w:bCs/>
                <w:spacing w:val="-8"/>
              </w:rPr>
              <w:t>时间</w:t>
            </w:r>
          </w:p>
        </w:tc>
        <w:tc>
          <w:tcPr>
            <w:tcW w:w="8450" w:type="dxa"/>
            <w:gridSpan w:val="2"/>
            <w:vAlign w:val="center"/>
          </w:tcPr>
          <w:p>
            <w:pPr>
              <w:pStyle w:val="6"/>
              <w:spacing w:before="202" w:line="220" w:lineRule="auto"/>
              <w:jc w:val="both"/>
            </w:pPr>
            <w:r>
              <w:rPr>
                <w:spacing w:val="-1"/>
              </w:rPr>
              <w:t>2024年</w:t>
            </w:r>
            <w:r>
              <w:rPr>
                <w:rFonts w:hint="eastAsia"/>
                <w:spacing w:val="-1"/>
                <w:lang w:val="en-US" w:eastAsia="zh-CN"/>
              </w:rPr>
              <w:t>11</w:t>
            </w:r>
            <w:r>
              <w:rPr>
                <w:spacing w:val="-1"/>
              </w:rPr>
              <w:t>月</w:t>
            </w:r>
            <w:r>
              <w:rPr>
                <w:rFonts w:hint="eastAsia"/>
                <w:spacing w:val="-1"/>
                <w:lang w:val="en-US" w:eastAsia="zh-CN"/>
              </w:rPr>
              <w:t>18</w:t>
            </w:r>
            <w:r>
              <w:rPr>
                <w:rFonts w:hint="eastAsia"/>
                <w:spacing w:val="-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574" w:type="dxa"/>
            <w:vAlign w:val="top"/>
          </w:tcPr>
          <w:p>
            <w:pPr>
              <w:pStyle w:val="6"/>
              <w:spacing w:before="221" w:line="224" w:lineRule="auto"/>
              <w:ind w:left="552"/>
            </w:pPr>
            <w:r>
              <w:rPr>
                <w:b/>
                <w:bCs/>
                <w:spacing w:val="-5"/>
              </w:rPr>
              <w:t>地点</w:t>
            </w:r>
          </w:p>
        </w:tc>
        <w:tc>
          <w:tcPr>
            <w:tcW w:w="8450" w:type="dxa"/>
            <w:gridSpan w:val="2"/>
            <w:vAlign w:val="center"/>
          </w:tcPr>
          <w:p>
            <w:pPr>
              <w:pStyle w:val="6"/>
              <w:spacing w:before="204" w:line="219" w:lineRule="auto"/>
              <w:jc w:val="both"/>
              <w:rPr>
                <w:rFonts w:hint="default" w:eastAsia="宋体"/>
                <w:lang w:val="en-US" w:eastAsia="zh-CN"/>
              </w:rPr>
            </w:pPr>
            <w:r>
              <w:rPr>
                <w:rFonts w:ascii="宋体" w:hAnsi="宋体" w:eastAsia="宋体" w:cs="宋体"/>
                <w:spacing w:val="-11"/>
                <w:kern w:val="13"/>
                <w:sz w:val="24"/>
                <w:szCs w:val="24"/>
              </w:rPr>
              <w:t>上海证券报·中国证券网（https://roadshow.cnstock.com/）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574" w:type="dxa"/>
            <w:vAlign w:val="top"/>
          </w:tcPr>
          <w:p>
            <w:pPr>
              <w:pStyle w:val="6"/>
              <w:spacing w:before="191" w:line="230" w:lineRule="auto"/>
              <w:ind w:left="313" w:right="62" w:hanging="240"/>
            </w:pPr>
            <w:r>
              <w:rPr>
                <w:b/>
                <w:bCs/>
                <w:spacing w:val="-4"/>
              </w:rPr>
              <w:t>上市公司接待</w:t>
            </w:r>
            <w:r>
              <w:t xml:space="preserve"> </w:t>
            </w:r>
            <w:r>
              <w:rPr>
                <w:b/>
                <w:bCs/>
                <w:spacing w:val="-5"/>
              </w:rPr>
              <w:t>人员姓名</w:t>
            </w:r>
          </w:p>
        </w:tc>
        <w:tc>
          <w:tcPr>
            <w:tcW w:w="8450" w:type="dxa"/>
            <w:gridSpan w:val="2"/>
            <w:vAlign w:val="center"/>
          </w:tcPr>
          <w:p>
            <w:pP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董事长、党委书记</w:t>
            </w: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吴高峻</w:t>
            </w:r>
          </w:p>
          <w:p>
            <w:pP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董事、总经理兼财务负责人、党委副书记</w:t>
            </w: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诸葛斌</w:t>
            </w:r>
          </w:p>
          <w:p>
            <w:pP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董事会秘书</w:t>
            </w: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周黎隽</w:t>
            </w:r>
          </w:p>
          <w:p>
            <w:pPr>
              <w:rPr>
                <w:rFonts w:hint="default" w:eastAsia="宋体"/>
                <w:lang w:val="en-US" w:eastAsia="zh-CN"/>
              </w:rPr>
            </w:pPr>
            <w:r>
              <w:rPr>
                <w:rFonts w:hint="eastAsia" w:ascii="宋体" w:hAnsi="宋体" w:eastAsia="宋体" w:cs="宋体"/>
                <w:snapToGrid w:val="0"/>
                <w:color w:val="000000"/>
                <w:kern w:val="0"/>
                <w:sz w:val="24"/>
                <w:szCs w:val="24"/>
                <w:lang w:val="en-US" w:eastAsia="zh-CN" w:bidi="ar-SA"/>
              </w:rPr>
              <w:t>资产财务部总经理：张肖肖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5" w:hRule="atLeast"/>
        </w:trPr>
        <w:tc>
          <w:tcPr>
            <w:tcW w:w="1574"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8" w:line="220" w:lineRule="auto"/>
              <w:ind w:left="74"/>
            </w:pPr>
            <w:r>
              <w:rPr>
                <w:b/>
                <w:bCs/>
                <w:spacing w:val="-4"/>
              </w:rPr>
              <w:t>投资者关系活</w:t>
            </w:r>
          </w:p>
          <w:p>
            <w:pPr>
              <w:pStyle w:val="6"/>
              <w:spacing w:before="25" w:line="219" w:lineRule="auto"/>
              <w:ind w:left="72"/>
            </w:pPr>
            <w:r>
              <w:rPr>
                <w:b/>
                <w:bCs/>
                <w:spacing w:val="-4"/>
              </w:rPr>
              <w:t>动主要内容介</w:t>
            </w:r>
          </w:p>
          <w:p>
            <w:pPr>
              <w:pStyle w:val="6"/>
              <w:spacing w:before="27" w:line="225" w:lineRule="auto"/>
              <w:ind w:left="678"/>
            </w:pPr>
            <w:r>
              <w:rPr>
                <w:b/>
                <w:bCs/>
                <w:spacing w:val="-3"/>
              </w:rPr>
              <w:t>绍</w:t>
            </w:r>
          </w:p>
        </w:tc>
        <w:tc>
          <w:tcPr>
            <w:tcW w:w="8450" w:type="dxa"/>
            <w:gridSpan w:val="2"/>
            <w:vAlign w:val="top"/>
          </w:tcPr>
          <w:p>
            <w:pPr>
              <w:pStyle w:val="7"/>
              <w:numPr>
                <w:ilvl w:val="0"/>
                <w:numId w:val="0"/>
              </w:numPr>
              <w:ind w:leftChars="0" w:firstLine="480" w:firstLineChars="200"/>
              <w:rPr>
                <w:rFonts w:hint="eastAsia" w:ascii="宋体" w:hAnsi="宋体" w:eastAsia="宋体" w:cs="宋体"/>
                <w:sz w:val="24"/>
                <w:szCs w:val="24"/>
                <w:lang w:eastAsia="zh-CN"/>
              </w:rPr>
            </w:pPr>
            <w:r>
              <w:rPr>
                <w:rFonts w:ascii="宋体" w:hAnsi="宋体" w:eastAsia="宋体" w:cs="宋体"/>
                <w:sz w:val="24"/>
                <w:szCs w:val="24"/>
              </w:rPr>
              <w:t>公司于2024年</w:t>
            </w:r>
            <w:r>
              <w:rPr>
                <w:rFonts w:hint="eastAsia" w:ascii="宋体" w:hAnsi="宋体" w:eastAsia="宋体" w:cs="宋体"/>
                <w:sz w:val="24"/>
                <w:szCs w:val="24"/>
                <w:lang w:val="en-US" w:eastAsia="zh-CN"/>
              </w:rPr>
              <w:t>11</w:t>
            </w:r>
            <w:r>
              <w:rPr>
                <w:rFonts w:ascii="宋体" w:hAnsi="宋体" w:eastAsia="宋体" w:cs="宋体"/>
                <w:sz w:val="24"/>
                <w:szCs w:val="24"/>
              </w:rPr>
              <w:t>月</w:t>
            </w:r>
            <w:r>
              <w:rPr>
                <w:rFonts w:hint="eastAsia" w:ascii="宋体" w:hAnsi="宋体" w:eastAsia="宋体" w:cs="宋体"/>
                <w:sz w:val="24"/>
                <w:szCs w:val="24"/>
                <w:lang w:val="en-US" w:eastAsia="zh-CN"/>
              </w:rPr>
              <w:t>1</w:t>
            </w:r>
            <w:r>
              <w:rPr>
                <w:rFonts w:ascii="宋体" w:hAnsi="宋体" w:eastAsia="宋体" w:cs="宋体"/>
                <w:sz w:val="24"/>
                <w:szCs w:val="24"/>
              </w:rPr>
              <w:t>8日通过网络文字互动方式召开2024年</w:t>
            </w:r>
            <w:r>
              <w:rPr>
                <w:rFonts w:hint="eastAsia" w:ascii="宋体" w:hAnsi="宋体" w:eastAsia="宋体" w:cs="宋体"/>
                <w:sz w:val="24"/>
                <w:szCs w:val="24"/>
                <w:lang w:val="en-US" w:eastAsia="zh-CN"/>
              </w:rPr>
              <w:t>第三季</w:t>
            </w:r>
            <w:r>
              <w:rPr>
                <w:rFonts w:ascii="宋体" w:hAnsi="宋体" w:eastAsia="宋体" w:cs="宋体"/>
                <w:sz w:val="24"/>
                <w:szCs w:val="24"/>
              </w:rPr>
              <w:t>度业绩说明会</w:t>
            </w:r>
            <w:r>
              <w:rPr>
                <w:rFonts w:hint="eastAsia" w:ascii="宋体" w:hAnsi="宋体" w:eastAsia="宋体" w:cs="宋体"/>
                <w:sz w:val="24"/>
                <w:szCs w:val="24"/>
                <w:lang w:eastAsia="zh-CN"/>
              </w:rPr>
              <w:t>，</w:t>
            </w:r>
            <w:r>
              <w:rPr>
                <w:rFonts w:ascii="宋体" w:hAnsi="宋体" w:eastAsia="宋体" w:cs="宋体"/>
                <w:sz w:val="24"/>
                <w:szCs w:val="24"/>
              </w:rPr>
              <w:t>就投资者关心的问题进行交流。</w:t>
            </w:r>
            <w:r>
              <w:rPr>
                <w:rFonts w:hint="eastAsia" w:ascii="宋体" w:hAnsi="宋体" w:eastAsia="宋体" w:cs="宋体"/>
                <w:sz w:val="24"/>
                <w:szCs w:val="24"/>
              </w:rPr>
              <w:t>主要内容如下</w:t>
            </w:r>
            <w:r>
              <w:rPr>
                <w:rFonts w:hint="eastAsia" w:ascii="宋体" w:hAnsi="宋体" w:eastAsia="宋体" w:cs="宋体"/>
                <w:sz w:val="24"/>
                <w:szCs w:val="24"/>
                <w:lang w:eastAsia="zh-CN"/>
              </w:rPr>
              <w:t>：</w:t>
            </w:r>
          </w:p>
          <w:p>
            <w:pPr>
              <w:ind w:firstLine="482" w:firstLineChars="200"/>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z w:val="24"/>
                <w:szCs w:val="24"/>
                <w:lang w:val="en-US" w:eastAsia="zh-CN"/>
              </w:rPr>
              <w:t>1、</w:t>
            </w:r>
            <w:r>
              <w:rPr>
                <w:rFonts w:hint="eastAsia" w:ascii="宋体" w:hAnsi="宋体" w:eastAsia="宋体" w:cs="宋体"/>
                <w:b/>
                <w:bCs/>
                <w:snapToGrid w:val="0"/>
                <w:color w:val="000000"/>
                <w:kern w:val="0"/>
                <w:sz w:val="24"/>
                <w:szCs w:val="24"/>
                <w:lang w:val="en-US" w:eastAsia="en-US" w:bidi="ar-SA"/>
              </w:rPr>
              <w:t>公司在低空经济领域的研发和技术创新方面有哪些成果？</w:t>
            </w:r>
          </w:p>
          <w:p>
            <w:pPr>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目前公司在低空经济领域，主要以参与全省低空经济安全底座建设为切入口，结合公司优势，积极打造更多、更贴合客户需求的低空经济安全服务类产品。近日，下属子公司绍兴安邦依托无人机信息采集中心和低空安防管理中心两大中心打造的护航低空经济发展的“安全底座”，成功助力绍兴越城打造低空经济先行区，开通全省首条常态化低空载人航线。</w:t>
            </w:r>
          </w:p>
          <w:p>
            <w:pPr>
              <w:ind w:firstLine="482" w:firstLineChars="200"/>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2、</w:t>
            </w:r>
            <w:r>
              <w:rPr>
                <w:rFonts w:hint="eastAsia" w:ascii="宋体" w:hAnsi="宋体" w:eastAsia="宋体" w:cs="宋体"/>
                <w:b/>
                <w:bCs/>
                <w:snapToGrid w:val="0"/>
                <w:color w:val="000000"/>
                <w:kern w:val="0"/>
                <w:sz w:val="24"/>
                <w:szCs w:val="24"/>
                <w:lang w:val="en-US" w:eastAsia="en-US" w:bidi="ar-SA"/>
              </w:rPr>
              <w:t>根据公司目前的业务发展和市场趋势，请问公司对未来一年的业绩有何预测？公司如何看待未来市场的发展趋势和潜在机会？</w:t>
            </w:r>
          </w:p>
          <w:p>
            <w:pPr>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公司目前经营平稳正常，整体向好，公司也会继续根据创新业务的发展及市场需求，提升盈利能力，增益各业务板块协同效应，提高公司竞争能力。具体经营情况请留意后续定期报告。未来公司将继续利用自身优势，通过内生增长和外延扩张，进一步巩固和提升公司在金融安全服务领域的市场地位，并积极探索新的业务增长点，努力提升公司经营业绩，以实现企业长期的可持续发展，以良好的业绩回报投资者。</w:t>
            </w:r>
          </w:p>
          <w:p>
            <w:pPr>
              <w:ind w:firstLine="482"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3、</w:t>
            </w:r>
            <w:r>
              <w:rPr>
                <w:rFonts w:hint="eastAsia" w:ascii="宋体" w:hAnsi="宋体" w:eastAsia="宋体" w:cs="宋体"/>
                <w:b/>
                <w:bCs/>
                <w:snapToGrid w:val="0"/>
                <w:color w:val="000000"/>
                <w:kern w:val="0"/>
                <w:sz w:val="24"/>
                <w:szCs w:val="24"/>
                <w:lang w:val="en-US" w:eastAsia="en-US" w:bidi="ar-SA"/>
              </w:rPr>
              <w:t>请问吴董事长对于安邦的海外安保业务发展有无具体的规划？</w:t>
            </w:r>
          </w:p>
          <w:p>
            <w:pPr>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公司正积极拓展海外安保业务，但同时海外安保业务受到海外政治经济环境和财务规范性的影响，公司一直在寻找合适的合作伙伴，探索更多海外安保服务的实现模式。</w:t>
            </w:r>
          </w:p>
          <w:p>
            <w:pPr>
              <w:ind w:firstLine="482"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4、</w:t>
            </w:r>
            <w:r>
              <w:rPr>
                <w:rFonts w:hint="eastAsia" w:ascii="宋体" w:hAnsi="宋体" w:eastAsia="宋体" w:cs="宋体"/>
                <w:b/>
                <w:bCs/>
                <w:snapToGrid w:val="0"/>
                <w:color w:val="000000"/>
                <w:kern w:val="0"/>
                <w:sz w:val="24"/>
                <w:szCs w:val="24"/>
                <w:lang w:val="en-US" w:eastAsia="en-US" w:bidi="ar-SA"/>
              </w:rPr>
              <w:t>公司在浙江省内属行业龙头，与头部客户合作关系稳定。公司如何进一步拓展客户资源和市场，特别是在省外市场的拓展计划？</w:t>
            </w:r>
          </w:p>
          <w:p>
            <w:pPr>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公司利用覆盖全浙江的网络，全面融入政府的“大安全、大应急、大减灾”体系，在同行业公司中率先探索业务的转型升级，引领行业的发展方向。公司业务的发展围绕公共安全服务大行业深入布局，各业务板块能共享客户、人力资源、基地、运输车队等，既提高公司的资源使用效率，又分摊技术投入的成本，形成良好协同效应。公司一直计划通过并购省外的押运公司拓展省外押运市场，目前已完成收购山西朔州市华昱保安押运护卫有限公司、上海弘泰金融外包服务有限公司，通过跨区域合作寻求产业优势互补，形成发展合力。</w:t>
            </w:r>
          </w:p>
          <w:p>
            <w:pPr>
              <w:ind w:firstLine="482" w:firstLineChars="200"/>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5、</w:t>
            </w:r>
            <w:r>
              <w:rPr>
                <w:rFonts w:hint="eastAsia" w:ascii="宋体" w:hAnsi="宋体" w:eastAsia="宋体" w:cs="宋体"/>
                <w:b/>
                <w:bCs/>
                <w:snapToGrid w:val="0"/>
                <w:color w:val="000000"/>
                <w:kern w:val="0"/>
                <w:sz w:val="24"/>
                <w:szCs w:val="24"/>
                <w:lang w:val="en-US" w:eastAsia="en-US" w:bidi="ar-SA"/>
              </w:rPr>
              <w:t>根据三季报，公司2024年前三季度实现营业收入19.31亿元，同比增长10.56%。这一增长的主要驱动因素是什么？未来是否能继续保持这样的增长趋势？</w:t>
            </w:r>
          </w:p>
          <w:p>
            <w:pPr>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报告期内，公司在综合安防和安全应急等领域不断拓展业务机会，新增业务为营业收入带来新的增长点。目前公司各项业务有序开展，经营计划稳步推进。未来公司会继续根据创新业务的发展及市场需求，对服务网络进行数字化、集成化、智能化升级，既挖潜增效，提升盈利能力，增益各业务板块协同效应，也有助于抢占市场先机，极大地提高公司竞争能力。</w:t>
            </w:r>
          </w:p>
          <w:p>
            <w:pPr>
              <w:ind w:firstLine="482" w:firstLineChars="200"/>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6、</w:t>
            </w:r>
            <w:r>
              <w:rPr>
                <w:rFonts w:hint="eastAsia" w:ascii="宋体" w:hAnsi="宋体" w:eastAsia="宋体" w:cs="宋体"/>
                <w:b/>
                <w:bCs/>
                <w:snapToGrid w:val="0"/>
                <w:color w:val="000000"/>
                <w:kern w:val="0"/>
                <w:sz w:val="24"/>
                <w:szCs w:val="24"/>
                <w:lang w:val="en-US" w:eastAsia="en-US" w:bidi="ar-SA"/>
              </w:rPr>
              <w:t>贵公司是否有回购股份注销计划，提升国企价值？谢谢！</w:t>
            </w:r>
          </w:p>
          <w:p>
            <w:pPr>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公司始终重视投资者回报，未来如有回购股份的相应计划，将及时履行信息披露义务。公司将坚持做好经营管理，推动企业稳健发展，回报广大投资者。</w:t>
            </w:r>
          </w:p>
          <w:p>
            <w:pPr>
              <w:ind w:firstLine="482" w:firstLineChars="200"/>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7、</w:t>
            </w:r>
            <w:r>
              <w:rPr>
                <w:rFonts w:hint="eastAsia" w:ascii="宋体" w:hAnsi="宋体" w:eastAsia="宋体" w:cs="宋体"/>
                <w:b/>
                <w:bCs/>
                <w:snapToGrid w:val="0"/>
                <w:color w:val="000000"/>
                <w:kern w:val="0"/>
                <w:sz w:val="24"/>
                <w:szCs w:val="24"/>
                <w:lang w:val="en-US" w:eastAsia="en-US" w:bidi="ar-SA"/>
              </w:rPr>
              <w:t>公司前三季度归属于上市公司股东的净利润为86,092,052.04元，同比增长14.84%。请问这一增长是否符合公司预期？公司采取了哪些措施来提升盈利能力？</w:t>
            </w:r>
          </w:p>
          <w:p>
            <w:pPr>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公司主要经济指标持续向好，安全生产形势平稳可控，经营步伐稳健，这一增长符合公司预期。公司强力拓展市场，深入实施业务布局创新提升行动，推动新形势下各业务板块持续平稳增长。同时聚焦技术攻关，释放创新潜能，积极参与浙江省国企打造原创技术策源地专项行动，聚焦主业加大科研投入，推动创新成果落地。未来公司将持续提升经营管理能力，推动公司稳定发展，继续以良好的业绩回报投资者。</w:t>
            </w:r>
          </w:p>
          <w:p>
            <w:pPr>
              <w:ind w:firstLine="482"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8、</w:t>
            </w:r>
            <w:r>
              <w:rPr>
                <w:rFonts w:hint="eastAsia" w:ascii="宋体" w:hAnsi="宋体" w:eastAsia="宋体" w:cs="宋体"/>
                <w:b/>
                <w:bCs/>
                <w:snapToGrid w:val="0"/>
                <w:color w:val="000000"/>
                <w:kern w:val="0"/>
                <w:sz w:val="24"/>
                <w:szCs w:val="24"/>
                <w:lang w:val="en-US" w:eastAsia="en-US" w:bidi="ar-SA"/>
              </w:rPr>
              <w:t>在综合安防服务领域公司有哪些业务拓展计划？</w:t>
            </w:r>
          </w:p>
          <w:p>
            <w:pPr>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公司充分利用安防设备行业科技进步的成果，将先进的安防科技与公司的服务优势相结合，为政府、银行、学校等社会重点单位以及大型活动提供全方位、一体化的安保服务。积极探索建立长三角安保服务一体化合作体系。通过企业间区域合作、资源共享、 要素互补，进一步健全长三角安保行业协同发展机制，推进安保行业科技创新和产业创新跨区域协同，同时不断加强与政府部门合作协同。</w:t>
            </w:r>
          </w:p>
          <w:p>
            <w:pPr>
              <w:ind w:firstLine="482" w:firstLineChars="200"/>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9、</w:t>
            </w:r>
            <w:r>
              <w:rPr>
                <w:rFonts w:hint="eastAsia" w:ascii="宋体" w:hAnsi="宋体" w:eastAsia="宋体" w:cs="宋体"/>
                <w:b/>
                <w:bCs/>
                <w:snapToGrid w:val="0"/>
                <w:color w:val="000000"/>
                <w:kern w:val="0"/>
                <w:sz w:val="24"/>
                <w:szCs w:val="24"/>
                <w:lang w:val="en-US" w:eastAsia="en-US" w:bidi="ar-SA"/>
              </w:rPr>
              <w:t>10月8日讯，中共中央办公厅、国务院办公厅发布关于进一步提升基层应急管理能力的意见。请问吴董事长该意见是否能助力贵司的基层治理业务大发展？</w:t>
            </w:r>
          </w:p>
          <w:p>
            <w:pPr>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意见》提到加强基层应急管理能力建设是防范化解重大安全风险、及时应对处置各类灾害事故的固本之策，是推进应急管理体系和能力现代化的重要内容。公司积极响应国家号召，针对安全应急这一新兴领域展开了全方位的布局。目前，公司提供的安全应急服务就包括基层治理服务，公司“社会基层治理服务能力现代化项目”成功入选浙江省2024年度省级标准化试点项目。</w:t>
            </w:r>
          </w:p>
          <w:p>
            <w:pPr>
              <w:ind w:firstLine="482"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10、</w:t>
            </w:r>
            <w:r>
              <w:rPr>
                <w:rFonts w:hint="eastAsia" w:ascii="宋体" w:hAnsi="宋体" w:eastAsia="宋体" w:cs="宋体"/>
                <w:b/>
                <w:bCs/>
                <w:snapToGrid w:val="0"/>
                <w:color w:val="000000"/>
                <w:kern w:val="0"/>
                <w:sz w:val="24"/>
                <w:szCs w:val="24"/>
                <w:lang w:val="en-US" w:eastAsia="en-US" w:bidi="ar-SA"/>
              </w:rPr>
              <w:t>公司目前募投项目进展是否顺利？在未来的发展规划中，公司如何确保募投项目的成功实施并为公司带来长期增长动力？</w:t>
            </w:r>
          </w:p>
          <w:p>
            <w:pPr>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公司的募投项目正在按计划推进，且部分资金已投入使用，公司预期通过这些项目的实施，将进一步提升公司在安全服务领域的竞争力和市场地位，详细的募集资金使用情况请您关注后续公司披露的《募集资金存放与使用情况的专项报告》。未来公司将继续坚持稳慎用好募集资金的原则，加强对募投项目的监督管理，确保募集资金使用的合法有效，有序推进募投项目的后续实施，并根据募投项目实际进展规范履行决策程序和信息披露义务。</w:t>
            </w:r>
          </w:p>
          <w:p>
            <w:pPr>
              <w:ind w:firstLine="482"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11、</w:t>
            </w:r>
            <w:r>
              <w:rPr>
                <w:rFonts w:hint="eastAsia" w:ascii="宋体" w:hAnsi="宋体" w:eastAsia="宋体" w:cs="宋体"/>
                <w:b/>
                <w:bCs/>
                <w:snapToGrid w:val="0"/>
                <w:color w:val="000000"/>
                <w:kern w:val="0"/>
                <w:sz w:val="24"/>
                <w:szCs w:val="24"/>
                <w:lang w:val="en-US" w:eastAsia="en-US" w:bidi="ar-SA"/>
              </w:rPr>
              <w:t>报告中提到，经营活动产生的现金流量净额为8,307,024.61元，同比增长177.70%，具体原因是什么？有没有进一步优化现金流的计划？</w:t>
            </w:r>
          </w:p>
          <w:p>
            <w:pPr>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主要是本期销售商品、提供劳务收到的现金增加所致。公司未来将继续优化资金管理，通过审慎的财务策略，确保现金流的稳健。同时公司会持续关注业务拓展与成本控制之间的平衡，以实现现金流的长期稳定和增长。</w:t>
            </w:r>
          </w:p>
          <w:p>
            <w:pPr>
              <w:ind w:firstLine="482" w:firstLineChars="200"/>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12、</w:t>
            </w:r>
            <w:r>
              <w:rPr>
                <w:rFonts w:hint="eastAsia" w:ascii="宋体" w:hAnsi="宋体" w:eastAsia="宋体" w:cs="宋体"/>
                <w:b/>
                <w:bCs/>
                <w:snapToGrid w:val="0"/>
                <w:color w:val="000000"/>
                <w:kern w:val="0"/>
                <w:sz w:val="24"/>
                <w:szCs w:val="24"/>
                <w:lang w:val="en-US" w:eastAsia="en-US" w:bidi="ar-SA"/>
              </w:rPr>
              <w:t>公司在市场竞争中如何利用自身的差异化优势保持和增强市场地位？</w:t>
            </w:r>
          </w:p>
          <w:p>
            <w:pPr>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公司是首个全省域覆盖的武装押运企业，同时公司利用覆盖全浙江的网络，全面融入政府的“大安全、大应急、大减灾”体系，在同行业公司中率先探索业务的转型升级，引领行业的发展方向。目前公司围绕安全服务行业进行深入布局，形成了以“金融安全服务”、“综合安防服务”和“安全应急服务”为主，兼具“海外安保服务”的“3+1”的板块布局，构成了全方位多层次的安全服务矩阵，为公司未来发展提供了有力保障。</w:t>
            </w:r>
          </w:p>
          <w:p>
            <w:pPr>
              <w:ind w:firstLine="482" w:firstLineChars="200"/>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13、</w:t>
            </w:r>
            <w:r>
              <w:rPr>
                <w:rFonts w:hint="eastAsia" w:ascii="宋体" w:hAnsi="宋体" w:eastAsia="宋体" w:cs="宋体"/>
                <w:b/>
                <w:bCs/>
                <w:snapToGrid w:val="0"/>
                <w:color w:val="000000"/>
                <w:kern w:val="0"/>
                <w:sz w:val="24"/>
                <w:szCs w:val="24"/>
                <w:lang w:val="en-US" w:eastAsia="en-US" w:bidi="ar-SA"/>
              </w:rPr>
              <w:t>自9月底A股反弹以来贵公司股票的涨幅严重滞后于所属的板块跟指数，请问造成贵公司股价涨幅滞后的原因是啥？</w:t>
            </w:r>
          </w:p>
          <w:p>
            <w:pPr>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公司致力于不断提升核心竞争力,提高管理水平,稳步推进公司业务，以良好的经营业绩回报投资者。二级市场股价走势主要受宏观经济、行业政策、市场行情及公司经营状况等诸多因素影响，请注意投资风险。</w:t>
            </w:r>
          </w:p>
          <w:p>
            <w:pPr>
              <w:ind w:firstLine="482"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14、</w:t>
            </w:r>
            <w:r>
              <w:rPr>
                <w:rFonts w:hint="eastAsia" w:ascii="宋体" w:hAnsi="宋体" w:eastAsia="宋体" w:cs="宋体"/>
                <w:b/>
                <w:bCs/>
                <w:snapToGrid w:val="0"/>
                <w:color w:val="000000"/>
                <w:kern w:val="0"/>
                <w:sz w:val="24"/>
                <w:szCs w:val="24"/>
                <w:lang w:val="en-US" w:eastAsia="en-US" w:bidi="ar-SA"/>
              </w:rPr>
              <w:t>网传贵公司子公司已经在低空经济领域于杭州公安滨海分局签订了超过千万级别的合同，请问是否属实？</w:t>
            </w:r>
          </w:p>
          <w:p>
            <w:pPr>
              <w:ind w:firstLine="480" w:firstLineChars="200"/>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en-US" w:bidi="ar-SA"/>
              </w:rPr>
              <w:t>近期，公司控股子公司杭州安邦在滨江低空经济安全保障服务项目的公开招标中中标，情况属实。公司将整合集团资源，发挥在低空经济领域的优势，全力做好项目开展工作。</w:t>
            </w:r>
          </w:p>
          <w:p>
            <w:pPr>
              <w:pStyle w:val="7"/>
              <w:numPr>
                <w:ilvl w:val="0"/>
                <w:numId w:val="0"/>
              </w:num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574" w:type="dxa"/>
            <w:vAlign w:val="top"/>
          </w:tcPr>
          <w:p>
            <w:pPr>
              <w:pStyle w:val="6"/>
              <w:spacing w:before="67" w:line="229" w:lineRule="auto"/>
              <w:ind w:left="318" w:right="301" w:firstLine="12"/>
            </w:pPr>
            <w:r>
              <w:rPr>
                <w:b/>
                <w:bCs/>
                <w:spacing w:val="-9"/>
              </w:rPr>
              <w:t>附件清单</w:t>
            </w:r>
            <w:r>
              <w:rPr>
                <w:spacing w:val="1"/>
              </w:rPr>
              <w:t xml:space="preserve"> </w:t>
            </w:r>
            <w:r>
              <w:rPr>
                <w:b/>
                <w:bCs/>
                <w:spacing w:val="-6"/>
              </w:rPr>
              <w:t>（如有）</w:t>
            </w:r>
          </w:p>
        </w:tc>
        <w:tc>
          <w:tcPr>
            <w:tcW w:w="8450" w:type="dxa"/>
            <w:gridSpan w:val="2"/>
            <w:vAlign w:val="center"/>
          </w:tcPr>
          <w:p>
            <w:pPr>
              <w:pStyle w:val="6"/>
              <w:spacing w:before="144" w:line="220" w:lineRule="auto"/>
              <w:ind w:left="134"/>
              <w:jc w:val="both"/>
            </w:pPr>
            <w:r>
              <w:t>无</w:t>
            </w:r>
          </w:p>
        </w:tc>
      </w:tr>
    </w:tbl>
    <w:p>
      <w:pPr>
        <w:rPr>
          <w:rFonts w:ascii="Arial"/>
          <w:sz w:val="21"/>
        </w:rPr>
      </w:pPr>
    </w:p>
    <w:sectPr>
      <w:pgSz w:w="11907" w:h="16841"/>
      <w:pgMar w:top="1320" w:right="842" w:bottom="0" w:left="103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9F1215"/>
    <w:rsid w:val="0D4D07F9"/>
    <w:rsid w:val="28E630B9"/>
    <w:rsid w:val="37041A0B"/>
    <w:rsid w:val="3E0B0815"/>
    <w:rsid w:val="50A877FC"/>
    <w:rsid w:val="517B4D82"/>
    <w:rsid w:val="6FB4428E"/>
    <w:rsid w:val="7CA91B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2506</Words>
  <Characters>2557</Characters>
  <TotalTime>0</TotalTime>
  <ScaleCrop>false</ScaleCrop>
  <LinksUpToDate>false</LinksUpToDate>
  <CharactersWithSpaces>2611</CharactersWithSpaces>
  <Application>WPS Office_11.8.2.12251_F1E327BC-269C-435d-A152-05C5408002CA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2024-04-26T17:48:00Z</dcterms:created>
  <dc:creator>xfzj</dc:creator>
  <cp:lastModifiedBy>王艳</cp:lastModifiedBy>
  <dcterms:modified xsi:type="dcterms:W3CDTF">2024-11-18T06:03:34Z</dcterms:modified>
  <dc:title>投资者关系活动记录表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2024-05-31T09:14:46Z</vt:filetime>
  </property>
  <property fmtid="{D5CDD505-2E9C-101B-9397-08002B2CF9AE}" pid="4" name="KSOProductBuildVer">
    <vt:lpwstr>2052-11.8.2.12251</vt:lpwstr>
  </property>
  <property fmtid="{D5CDD505-2E9C-101B-9397-08002B2CF9AE}" pid="5" name="ICV">
    <vt:lpwstr>2A3D59F051BC42FD8C7881B1EFCAD098</vt:lpwstr>
  </property>
</Properties>
</file>