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A1C1">
      <w:pPr>
        <w:spacing w:before="156" w:beforeLines="50"/>
        <w:jc w:val="center"/>
        <w:rPr>
          <w:rFonts w:hint="eastAsia" w:ascii="宋体" w:hAnsi="宋体"/>
          <w:b/>
          <w:bCs/>
          <w:iCs/>
          <w:color w:val="000000"/>
          <w:sz w:val="36"/>
          <w:szCs w:val="36"/>
        </w:rPr>
      </w:pPr>
      <w:bookmarkStart w:id="0" w:name="_GoBack"/>
      <w:bookmarkEnd w:id="0"/>
      <w:r>
        <w:rPr>
          <w:rFonts w:hint="eastAsia" w:ascii="宋体" w:hAnsi="宋体"/>
          <w:b/>
          <w:bCs/>
          <w:iCs/>
          <w:color w:val="000000"/>
          <w:sz w:val="36"/>
          <w:szCs w:val="36"/>
        </w:rPr>
        <w:t>海南矿业股份有限公司</w:t>
      </w:r>
    </w:p>
    <w:p w14:paraId="2CCBC4D1">
      <w:pPr>
        <w:jc w:val="center"/>
        <w:rPr>
          <w:rFonts w:hint="eastAsia" w:ascii="宋体" w:hAnsi="宋体"/>
          <w:b/>
          <w:bCs/>
          <w:iCs/>
          <w:color w:val="000000"/>
          <w:sz w:val="36"/>
          <w:szCs w:val="36"/>
        </w:rPr>
      </w:pPr>
      <w:r>
        <w:rPr>
          <w:rFonts w:hint="eastAsia" w:ascii="宋体" w:hAnsi="宋体"/>
          <w:b/>
          <w:bCs/>
          <w:iCs/>
          <w:color w:val="000000"/>
          <w:sz w:val="36"/>
          <w:szCs w:val="36"/>
        </w:rPr>
        <w:t>投资者关系活动记录表</w:t>
      </w:r>
    </w:p>
    <w:p w14:paraId="2CD605CD">
      <w:pPr>
        <w:spacing w:line="400" w:lineRule="exact"/>
        <w:rPr>
          <w:rFonts w:hint="eastAsia" w:ascii="宋体" w:hAnsi="宋体"/>
          <w:bCs/>
          <w:iCs/>
          <w:color w:val="000000"/>
          <w:sz w:val="24"/>
        </w:rPr>
      </w:pPr>
      <w:r>
        <w:rPr>
          <w:rFonts w:hint="eastAsia" w:ascii="宋体" w:hAnsi="宋体"/>
          <w:bCs/>
          <w:iCs/>
          <w:color w:val="000000"/>
          <w:sz w:val="24"/>
        </w:rPr>
        <w:t xml:space="preserve">                                                        编号：20</w:t>
      </w:r>
      <w:r>
        <w:rPr>
          <w:rFonts w:ascii="宋体" w:hAnsi="宋体"/>
          <w:bCs/>
          <w:iCs/>
          <w:color w:val="000000"/>
          <w:sz w:val="24"/>
        </w:rPr>
        <w:t>2</w:t>
      </w:r>
      <w:r>
        <w:rPr>
          <w:rFonts w:hint="eastAsia" w:ascii="宋体" w:hAnsi="宋体"/>
          <w:bCs/>
          <w:iCs/>
          <w:color w:val="000000"/>
          <w:sz w:val="24"/>
        </w:rPr>
        <w:t>4-005</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7174"/>
      </w:tblGrid>
      <w:tr w14:paraId="2DB0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Borders>
              <w:top w:val="single" w:color="auto" w:sz="4" w:space="0"/>
              <w:left w:val="single" w:color="auto" w:sz="4" w:space="0"/>
              <w:bottom w:val="single" w:color="auto" w:sz="4" w:space="0"/>
              <w:right w:val="single" w:color="auto" w:sz="4" w:space="0"/>
            </w:tcBorders>
            <w:vAlign w:val="center"/>
          </w:tcPr>
          <w:p w14:paraId="008348D9">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投资者关系活动类别</w:t>
            </w:r>
          </w:p>
        </w:tc>
        <w:tc>
          <w:tcPr>
            <w:tcW w:w="4206" w:type="pct"/>
            <w:tcBorders>
              <w:top w:val="single" w:color="auto" w:sz="4" w:space="0"/>
              <w:left w:val="single" w:color="auto" w:sz="4" w:space="0"/>
              <w:bottom w:val="single" w:color="auto" w:sz="4" w:space="0"/>
              <w:right w:val="single" w:color="auto" w:sz="4" w:space="0"/>
            </w:tcBorders>
            <w:vAlign w:val="center"/>
          </w:tcPr>
          <w:p w14:paraId="182675EC">
            <w:pPr>
              <w:spacing w:before="93" w:beforeLines="30" w:after="93" w:afterLines="30"/>
              <w:rPr>
                <w:rFonts w:hint="eastAsia" w:ascii="宋体" w:hAnsi="宋体"/>
                <w:bCs/>
                <w:iCs/>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sz w:val="24"/>
              </w:rPr>
              <w:t>□</w:t>
            </w:r>
            <w:r>
              <w:rPr>
                <w:rFonts w:hint="eastAsia" w:ascii="宋体" w:hAnsi="宋体"/>
                <w:sz w:val="24"/>
              </w:rPr>
              <w:t>分析师会议</w:t>
            </w:r>
          </w:p>
          <w:p w14:paraId="6531CB27">
            <w:pPr>
              <w:spacing w:before="93" w:beforeLines="30" w:after="93" w:afterLines="30"/>
              <w:rPr>
                <w:rFonts w:hint="eastAsia" w:ascii="宋体" w:hAnsi="宋体"/>
                <w:bCs/>
                <w:iCs/>
                <w:sz w:val="24"/>
              </w:rPr>
            </w:pPr>
            <w:r>
              <w:rPr>
                <w:rFonts w:hint="eastAsia" w:ascii="宋体" w:hAnsi="宋体"/>
                <w:bCs/>
                <w:iCs/>
                <w:sz w:val="24"/>
              </w:rPr>
              <w:t>□</w:t>
            </w:r>
            <w:r>
              <w:rPr>
                <w:rFonts w:hint="eastAsia" w:ascii="宋体" w:hAnsi="宋体"/>
                <w:sz w:val="24"/>
              </w:rPr>
              <w:t xml:space="preserve">媒体采访             </w:t>
            </w:r>
            <w:r>
              <w:rPr>
                <w:rFonts w:ascii="宋体" w:hAnsi="宋体"/>
                <w:sz w:val="24"/>
              </w:rPr>
              <w:t xml:space="preserve"> </w:t>
            </w:r>
            <w:r>
              <w:rPr>
                <w:rFonts w:hint="eastAsia" w:ascii="宋体" w:hAnsi="宋体"/>
                <w:bCs/>
                <w:iCs/>
                <w:sz w:val="24"/>
              </w:rPr>
              <w:t>□</w:t>
            </w:r>
            <w:r>
              <w:rPr>
                <w:rFonts w:hint="eastAsia" w:ascii="宋体" w:hAnsi="宋体"/>
                <w:sz w:val="24"/>
              </w:rPr>
              <w:t>业绩说明会</w:t>
            </w:r>
          </w:p>
          <w:p w14:paraId="1F738489">
            <w:pPr>
              <w:spacing w:before="93" w:beforeLines="30" w:after="93" w:afterLines="30"/>
              <w:rPr>
                <w:rFonts w:hint="eastAsia" w:ascii="宋体" w:hAnsi="宋体"/>
                <w:bCs/>
                <w:iCs/>
                <w:sz w:val="24"/>
              </w:rPr>
            </w:pPr>
            <w:r>
              <w:rPr>
                <w:rFonts w:hint="eastAsia" w:ascii="宋体" w:hAnsi="宋体"/>
                <w:bCs/>
                <w:iCs/>
                <w:sz w:val="24"/>
              </w:rPr>
              <w:t>□</w:t>
            </w:r>
            <w:r>
              <w:rPr>
                <w:rFonts w:hint="eastAsia" w:ascii="宋体" w:hAnsi="宋体"/>
                <w:sz w:val="24"/>
              </w:rPr>
              <w:t xml:space="preserve">新闻发布会          </w:t>
            </w:r>
            <w:r>
              <w:rPr>
                <w:rFonts w:ascii="宋体" w:hAnsi="宋体"/>
                <w:sz w:val="24"/>
              </w:rPr>
              <w:t xml:space="preserve"> </w:t>
            </w:r>
            <w:r>
              <w:rPr>
                <w:rFonts w:hint="eastAsia" w:ascii="宋体" w:hAnsi="宋体"/>
                <w:sz w:val="24"/>
              </w:rPr>
              <w:t xml:space="preserve"> </w:t>
            </w:r>
            <w:r>
              <w:rPr>
                <w:rFonts w:hint="eastAsia" w:ascii="宋体" w:hAnsi="宋体"/>
                <w:bCs/>
                <w:iCs/>
                <w:sz w:val="24"/>
              </w:rPr>
              <w:t>√</w:t>
            </w:r>
            <w:r>
              <w:rPr>
                <w:rFonts w:hint="eastAsia" w:ascii="宋体" w:hAnsi="宋体"/>
                <w:sz w:val="24"/>
              </w:rPr>
              <w:t>路演活动</w:t>
            </w:r>
          </w:p>
          <w:p w14:paraId="1BF5259C">
            <w:pPr>
              <w:tabs>
                <w:tab w:val="left" w:pos="3045"/>
                <w:tab w:val="center" w:pos="3199"/>
              </w:tabs>
              <w:spacing w:before="93" w:beforeLines="30" w:after="93" w:afterLines="30"/>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现场参观             </w:t>
            </w:r>
            <w:r>
              <w:rPr>
                <w:rFonts w:ascii="宋体" w:hAnsi="宋体"/>
                <w:sz w:val="24"/>
              </w:rPr>
              <w:t xml:space="preserve"> </w:t>
            </w:r>
            <w:r>
              <w:rPr>
                <w:rFonts w:hint="eastAsia" w:ascii="宋体" w:hAnsi="宋体"/>
                <w:bCs/>
                <w:iCs/>
                <w:sz w:val="24"/>
              </w:rPr>
              <w:t>□</w:t>
            </w:r>
            <w:r>
              <w:rPr>
                <w:rFonts w:hint="eastAsia" w:ascii="宋体" w:hAnsi="宋体"/>
                <w:sz w:val="24"/>
              </w:rPr>
              <w:t>电话会议</w:t>
            </w:r>
            <w:r>
              <w:rPr>
                <w:rFonts w:hint="eastAsia" w:ascii="宋体" w:hAnsi="宋体"/>
                <w:bCs/>
                <w:iCs/>
                <w:color w:val="000000"/>
                <w:sz w:val="24"/>
              </w:rPr>
              <w:tab/>
            </w:r>
          </w:p>
          <w:p w14:paraId="1F28A269">
            <w:pPr>
              <w:tabs>
                <w:tab w:val="center" w:pos="3199"/>
              </w:tabs>
              <w:spacing w:before="93" w:beforeLines="30" w:after="93" w:afterLines="30"/>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其他 </w:t>
            </w:r>
            <w:r>
              <w:rPr>
                <w:rFonts w:hint="eastAsia" w:ascii="宋体" w:hAnsi="宋体"/>
                <w:sz w:val="24"/>
                <w:u w:val="single"/>
              </w:rPr>
              <w:t xml:space="preserve">                 </w:t>
            </w:r>
          </w:p>
        </w:tc>
      </w:tr>
      <w:tr w14:paraId="1ACB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93" w:type="pct"/>
            <w:tcBorders>
              <w:top w:val="single" w:color="auto" w:sz="4" w:space="0"/>
              <w:left w:val="single" w:color="auto" w:sz="4" w:space="0"/>
              <w:bottom w:val="single" w:color="auto" w:sz="4" w:space="0"/>
              <w:right w:val="single" w:color="auto" w:sz="4" w:space="0"/>
            </w:tcBorders>
            <w:vAlign w:val="center"/>
          </w:tcPr>
          <w:p w14:paraId="5FE6A938">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参与单位</w:t>
            </w:r>
          </w:p>
        </w:tc>
        <w:tc>
          <w:tcPr>
            <w:tcW w:w="4206" w:type="pct"/>
            <w:tcBorders>
              <w:top w:val="single" w:color="auto" w:sz="4" w:space="0"/>
              <w:left w:val="single" w:color="auto" w:sz="4" w:space="0"/>
              <w:bottom w:val="single" w:color="auto" w:sz="4" w:space="0"/>
              <w:right w:val="single" w:color="auto" w:sz="4" w:space="0"/>
            </w:tcBorders>
            <w:vAlign w:val="center"/>
          </w:tcPr>
          <w:p w14:paraId="203FBAC4">
            <w:pPr>
              <w:spacing w:before="93" w:beforeLines="30" w:after="93" w:afterLines="30" w:line="360" w:lineRule="exact"/>
              <w:rPr>
                <w:rFonts w:hint="eastAsia" w:ascii="宋体" w:hAnsi="宋体"/>
                <w:bCs/>
                <w:iCs/>
                <w:color w:val="4F81BD" w:themeColor="accent1"/>
                <w:sz w:val="24"/>
                <w14:textFill>
                  <w14:solidFill>
                    <w14:schemeClr w14:val="accent1"/>
                  </w14:solidFill>
                </w14:textFill>
              </w:rPr>
            </w:pPr>
            <w:r>
              <w:rPr>
                <w:rFonts w:ascii="宋体" w:hAnsi="宋体"/>
                <w:bCs/>
                <w:iCs/>
                <w:sz w:val="24"/>
              </w:rPr>
              <w:t>万和证券</w:t>
            </w:r>
            <w:r>
              <w:rPr>
                <w:rFonts w:hint="eastAsia" w:ascii="宋体" w:hAnsi="宋体"/>
                <w:bCs/>
                <w:iCs/>
                <w:sz w:val="24"/>
              </w:rPr>
              <w:t>、瑞达期货资管、鸣石投资、朔盈资产、枫缘基金、国时资产、天驷资产等21</w:t>
            </w:r>
            <w:r>
              <w:rPr>
                <w:rFonts w:ascii="宋体" w:hAnsi="宋体"/>
                <w:bCs/>
                <w:iCs/>
                <w:sz w:val="24"/>
              </w:rPr>
              <w:t>名机构投资者与个人投资者</w:t>
            </w:r>
          </w:p>
          <w:p w14:paraId="0EB692B1">
            <w:pPr>
              <w:spacing w:before="93" w:beforeLines="30" w:after="93" w:afterLines="30" w:line="360" w:lineRule="exact"/>
              <w:rPr>
                <w:rFonts w:hint="eastAsia" w:ascii="宋体" w:hAnsi="宋体"/>
                <w:bCs/>
                <w:iCs/>
                <w:sz w:val="24"/>
              </w:rPr>
            </w:pPr>
            <w:r>
              <w:rPr>
                <w:rFonts w:hint="eastAsia" w:ascii="宋体" w:hAnsi="宋体"/>
                <w:bCs/>
                <w:iCs/>
                <w:sz w:val="24"/>
              </w:rPr>
              <w:t>（排名不分先后）</w:t>
            </w:r>
          </w:p>
        </w:tc>
      </w:tr>
      <w:tr w14:paraId="3087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3" w:type="pct"/>
            <w:tcBorders>
              <w:top w:val="single" w:color="auto" w:sz="4" w:space="0"/>
              <w:left w:val="single" w:color="auto" w:sz="4" w:space="0"/>
              <w:bottom w:val="single" w:color="auto" w:sz="4" w:space="0"/>
              <w:right w:val="single" w:color="auto" w:sz="4" w:space="0"/>
            </w:tcBorders>
            <w:vAlign w:val="center"/>
          </w:tcPr>
          <w:p w14:paraId="71A64604">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时    间</w:t>
            </w:r>
          </w:p>
        </w:tc>
        <w:tc>
          <w:tcPr>
            <w:tcW w:w="4206" w:type="pct"/>
            <w:tcBorders>
              <w:top w:val="single" w:color="auto" w:sz="4" w:space="0"/>
              <w:left w:val="single" w:color="auto" w:sz="4" w:space="0"/>
              <w:bottom w:val="single" w:color="auto" w:sz="4" w:space="0"/>
              <w:right w:val="single" w:color="auto" w:sz="4" w:space="0"/>
            </w:tcBorders>
            <w:vAlign w:val="center"/>
          </w:tcPr>
          <w:p w14:paraId="21B48B0F">
            <w:pPr>
              <w:spacing w:before="93" w:beforeLines="30" w:after="93" w:afterLines="30"/>
              <w:rPr>
                <w:rFonts w:hint="eastAsia" w:ascii="宋体" w:hAnsi="宋体"/>
                <w:bCs/>
                <w:iCs/>
                <w:color w:val="000000"/>
                <w:sz w:val="24"/>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rPr>
              <w:t>4年11月15日 14:00-15:00</w:t>
            </w:r>
          </w:p>
        </w:tc>
      </w:tr>
      <w:tr w14:paraId="2FD3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3" w:type="pct"/>
            <w:tcBorders>
              <w:top w:val="single" w:color="auto" w:sz="4" w:space="0"/>
              <w:left w:val="single" w:color="auto" w:sz="4" w:space="0"/>
              <w:bottom w:val="single" w:color="auto" w:sz="4" w:space="0"/>
              <w:right w:val="single" w:color="auto" w:sz="4" w:space="0"/>
            </w:tcBorders>
            <w:vAlign w:val="center"/>
          </w:tcPr>
          <w:p w14:paraId="77246CF6">
            <w:pPr>
              <w:spacing w:before="93" w:beforeLines="30" w:after="93" w:afterLines="30" w:line="380" w:lineRule="exact"/>
              <w:jc w:val="center"/>
              <w:rPr>
                <w:rFonts w:hint="eastAsia" w:ascii="宋体" w:hAnsi="宋体"/>
                <w:bCs/>
                <w:iCs/>
                <w:sz w:val="24"/>
              </w:rPr>
            </w:pPr>
            <w:r>
              <w:rPr>
                <w:rFonts w:hint="eastAsia" w:ascii="宋体" w:hAnsi="宋体"/>
                <w:bCs/>
                <w:iCs/>
                <w:sz w:val="24"/>
              </w:rPr>
              <w:t>地    点/沟通方式</w:t>
            </w:r>
          </w:p>
        </w:tc>
        <w:tc>
          <w:tcPr>
            <w:tcW w:w="4206" w:type="pct"/>
            <w:tcBorders>
              <w:top w:val="single" w:color="auto" w:sz="4" w:space="0"/>
              <w:left w:val="single" w:color="auto" w:sz="4" w:space="0"/>
              <w:bottom w:val="single" w:color="auto" w:sz="4" w:space="0"/>
              <w:right w:val="single" w:color="auto" w:sz="4" w:space="0"/>
            </w:tcBorders>
            <w:vAlign w:val="center"/>
          </w:tcPr>
          <w:p w14:paraId="06284835">
            <w:pPr>
              <w:spacing w:before="93" w:beforeLines="30" w:after="93" w:afterLines="30"/>
              <w:rPr>
                <w:rFonts w:hint="eastAsia" w:ascii="宋体" w:hAnsi="宋体"/>
                <w:bCs/>
                <w:iCs/>
                <w:sz w:val="24"/>
              </w:rPr>
            </w:pPr>
            <w:r>
              <w:rPr>
                <w:rFonts w:hint="eastAsia" w:ascii="宋体" w:hAnsi="宋体"/>
                <w:bCs/>
                <w:iCs/>
                <w:sz w:val="24"/>
              </w:rPr>
              <w:t>上海市黄浦区龙华东路917号万和证券会议室/线下会议</w:t>
            </w:r>
          </w:p>
        </w:tc>
      </w:tr>
      <w:tr w14:paraId="3F07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Borders>
              <w:top w:val="single" w:color="auto" w:sz="4" w:space="0"/>
              <w:left w:val="single" w:color="auto" w:sz="4" w:space="0"/>
              <w:bottom w:val="single" w:color="auto" w:sz="4" w:space="0"/>
              <w:right w:val="single" w:color="auto" w:sz="4" w:space="0"/>
            </w:tcBorders>
            <w:vAlign w:val="center"/>
          </w:tcPr>
          <w:p w14:paraId="534048EB">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上市公司参与人员</w:t>
            </w:r>
          </w:p>
        </w:tc>
        <w:tc>
          <w:tcPr>
            <w:tcW w:w="4206" w:type="pct"/>
            <w:tcBorders>
              <w:top w:val="single" w:color="auto" w:sz="4" w:space="0"/>
              <w:left w:val="single" w:color="auto" w:sz="4" w:space="0"/>
              <w:bottom w:val="single" w:color="auto" w:sz="4" w:space="0"/>
              <w:right w:val="single" w:color="auto" w:sz="4" w:space="0"/>
            </w:tcBorders>
            <w:shd w:val="clear" w:color="auto" w:fill="auto"/>
            <w:vAlign w:val="center"/>
          </w:tcPr>
          <w:p w14:paraId="216B7370">
            <w:pPr>
              <w:spacing w:before="93" w:beforeLines="30" w:after="93" w:afterLines="30" w:line="400" w:lineRule="exact"/>
              <w:rPr>
                <w:rFonts w:hint="eastAsia" w:ascii="宋体" w:hAnsi="宋体"/>
                <w:bCs/>
                <w:iCs/>
                <w:color w:val="000000"/>
                <w:sz w:val="24"/>
              </w:rPr>
            </w:pPr>
            <w:r>
              <w:rPr>
                <w:rFonts w:hint="eastAsia" w:ascii="宋体" w:hAnsi="宋体"/>
                <w:bCs/>
                <w:iCs/>
                <w:color w:val="000000"/>
                <w:sz w:val="24"/>
              </w:rPr>
              <w:t>海南矿业副总裁</w:t>
            </w:r>
            <w:r>
              <w:rPr>
                <w:rFonts w:ascii="宋体" w:hAnsi="宋体"/>
                <w:bCs/>
                <w:iCs/>
                <w:color w:val="000000"/>
                <w:sz w:val="24"/>
              </w:rPr>
              <w:t>、</w:t>
            </w:r>
            <w:r>
              <w:rPr>
                <w:rFonts w:hint="eastAsia" w:ascii="宋体" w:hAnsi="宋体"/>
                <w:bCs/>
                <w:iCs/>
                <w:color w:val="000000"/>
                <w:sz w:val="24"/>
              </w:rPr>
              <w:t xml:space="preserve">董事会秘书 </w:t>
            </w:r>
            <w:r>
              <w:rPr>
                <w:rFonts w:ascii="宋体" w:hAnsi="宋体"/>
                <w:bCs/>
                <w:iCs/>
                <w:color w:val="000000"/>
                <w:sz w:val="24"/>
              </w:rPr>
              <w:t xml:space="preserve">        </w:t>
            </w:r>
            <w:r>
              <w:rPr>
                <w:rFonts w:hint="eastAsia" w:ascii="宋体" w:hAnsi="宋体"/>
                <w:bCs/>
                <w:iCs/>
                <w:color w:val="000000"/>
                <w:sz w:val="24"/>
              </w:rPr>
              <w:t xml:space="preserve">              何 </w:t>
            </w:r>
            <w:r>
              <w:rPr>
                <w:rFonts w:ascii="宋体" w:hAnsi="宋体"/>
                <w:bCs/>
                <w:iCs/>
                <w:color w:val="000000"/>
                <w:sz w:val="24"/>
              </w:rPr>
              <w:t xml:space="preserve"> </w:t>
            </w:r>
            <w:r>
              <w:rPr>
                <w:rFonts w:hint="eastAsia" w:ascii="宋体" w:hAnsi="宋体"/>
                <w:bCs/>
                <w:iCs/>
                <w:color w:val="000000"/>
                <w:sz w:val="24"/>
              </w:rPr>
              <w:t>婧</w:t>
            </w:r>
          </w:p>
          <w:p w14:paraId="3F984FA5">
            <w:pPr>
              <w:spacing w:before="93" w:beforeLines="30" w:after="93" w:afterLines="30" w:line="400" w:lineRule="exact"/>
              <w:rPr>
                <w:rFonts w:hint="eastAsia" w:ascii="宋体" w:hAnsi="宋体"/>
                <w:bCs/>
                <w:iCs/>
                <w:color w:val="000000"/>
                <w:sz w:val="24"/>
              </w:rPr>
            </w:pPr>
            <w:r>
              <w:rPr>
                <w:rFonts w:hint="eastAsia" w:ascii="宋体" w:hAnsi="宋体"/>
                <w:bCs/>
                <w:iCs/>
                <w:color w:val="000000"/>
                <w:sz w:val="24"/>
              </w:rPr>
              <w:t xml:space="preserve">海南矿业投资者关系高级经理 </w:t>
            </w:r>
            <w:r>
              <w:rPr>
                <w:rFonts w:ascii="宋体" w:hAnsi="宋体"/>
                <w:bCs/>
                <w:iCs/>
                <w:color w:val="000000"/>
                <w:sz w:val="24"/>
              </w:rPr>
              <w:t xml:space="preserve">                      </w:t>
            </w:r>
            <w:r>
              <w:rPr>
                <w:rFonts w:hint="eastAsia" w:ascii="宋体" w:hAnsi="宋体"/>
                <w:bCs/>
                <w:iCs/>
                <w:color w:val="000000"/>
                <w:sz w:val="24"/>
              </w:rPr>
              <w:t>杨丰源</w:t>
            </w:r>
          </w:p>
          <w:p w14:paraId="0869BCCC">
            <w:pPr>
              <w:spacing w:before="93" w:beforeLines="30" w:after="93" w:afterLines="30" w:line="400" w:lineRule="exact"/>
              <w:rPr>
                <w:rFonts w:hint="eastAsia" w:ascii="宋体" w:hAnsi="宋体"/>
                <w:bCs/>
                <w:iCs/>
                <w:color w:val="000000"/>
                <w:sz w:val="24"/>
              </w:rPr>
            </w:pPr>
            <w:r>
              <w:rPr>
                <w:rFonts w:ascii="宋体" w:hAnsi="宋体"/>
                <w:bCs/>
                <w:iCs/>
                <w:color w:val="000000"/>
                <w:sz w:val="24"/>
              </w:rPr>
              <w:t>海南矿业投资者关系经理                           周文智</w:t>
            </w:r>
          </w:p>
        </w:tc>
      </w:tr>
      <w:tr w14:paraId="5CE1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93" w:type="pct"/>
            <w:tcBorders>
              <w:top w:val="single" w:color="auto" w:sz="4" w:space="0"/>
              <w:left w:val="single" w:color="auto" w:sz="4" w:space="0"/>
              <w:bottom w:val="single" w:color="auto" w:sz="4" w:space="0"/>
              <w:right w:val="single" w:color="auto" w:sz="4" w:space="0"/>
            </w:tcBorders>
            <w:vAlign w:val="center"/>
          </w:tcPr>
          <w:p w14:paraId="0852DF12">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投资者关系活动主要内容介绍</w:t>
            </w:r>
          </w:p>
        </w:tc>
        <w:tc>
          <w:tcPr>
            <w:tcW w:w="4206" w:type="pct"/>
            <w:tcBorders>
              <w:top w:val="single" w:color="auto" w:sz="4" w:space="0"/>
              <w:left w:val="single" w:color="auto" w:sz="4" w:space="0"/>
              <w:bottom w:val="single" w:color="auto" w:sz="4" w:space="0"/>
              <w:right w:val="single" w:color="auto" w:sz="4" w:space="0"/>
            </w:tcBorders>
            <w:shd w:val="clear" w:color="auto" w:fill="auto"/>
          </w:tcPr>
          <w:p w14:paraId="36B7867A">
            <w:pPr>
              <w:spacing w:line="360" w:lineRule="auto"/>
              <w:jc w:val="left"/>
              <w:rPr>
                <w:rFonts w:hint="eastAsia" w:ascii="宋体" w:hAnsi="宋体" w:cs="宋体"/>
                <w:b/>
                <w:bCs/>
              </w:rPr>
            </w:pPr>
            <w:r>
              <w:rPr>
                <w:rFonts w:hint="eastAsia" w:ascii="宋体" w:hAnsi="宋体" w:cs="宋体"/>
                <w:b/>
                <w:bCs/>
              </w:rPr>
              <w:t>会议议程：</w:t>
            </w:r>
          </w:p>
          <w:p w14:paraId="2977BA0B">
            <w:pPr>
              <w:numPr>
                <w:ilvl w:val="0"/>
                <w:numId w:val="1"/>
              </w:numPr>
              <w:spacing w:line="360" w:lineRule="auto"/>
              <w:jc w:val="left"/>
              <w:rPr>
                <w:rFonts w:hint="eastAsia" w:ascii="宋体" w:hAnsi="宋体"/>
                <w:bCs/>
                <w:iCs/>
                <w:color w:val="000000"/>
                <w:sz w:val="24"/>
              </w:rPr>
            </w:pPr>
            <w:r>
              <w:rPr>
                <w:rFonts w:ascii="宋体" w:hAnsi="宋体"/>
                <w:bCs/>
                <w:iCs/>
                <w:color w:val="000000"/>
                <w:sz w:val="24"/>
              </w:rPr>
              <w:t>开场致辞</w:t>
            </w:r>
            <w:r>
              <w:rPr>
                <w:rFonts w:hint="eastAsia" w:ascii="宋体" w:hAnsi="宋体"/>
                <w:bCs/>
                <w:iCs/>
                <w:color w:val="000000"/>
                <w:sz w:val="24"/>
              </w:rPr>
              <w:t>——</w:t>
            </w:r>
            <w:r>
              <w:rPr>
                <w:rFonts w:ascii="宋体" w:hAnsi="宋体"/>
                <w:bCs/>
                <w:iCs/>
                <w:color w:val="000000"/>
                <w:sz w:val="24"/>
              </w:rPr>
              <w:t>何婧</w:t>
            </w:r>
          </w:p>
          <w:p w14:paraId="4A76B331">
            <w:pPr>
              <w:numPr>
                <w:ilvl w:val="0"/>
                <w:numId w:val="1"/>
              </w:numPr>
              <w:spacing w:line="360" w:lineRule="auto"/>
              <w:jc w:val="left"/>
              <w:rPr>
                <w:rFonts w:hint="eastAsia" w:ascii="宋体" w:hAnsi="宋体"/>
                <w:bCs/>
                <w:iCs/>
                <w:color w:val="000000"/>
                <w:sz w:val="24"/>
              </w:rPr>
            </w:pPr>
            <w:r>
              <w:rPr>
                <w:rFonts w:ascii="宋体" w:hAnsi="宋体"/>
                <w:bCs/>
                <w:iCs/>
                <w:color w:val="000000"/>
                <w:sz w:val="24"/>
              </w:rPr>
              <w:t>介绍公司概况及具体业务情况——杨丰源</w:t>
            </w:r>
          </w:p>
          <w:p w14:paraId="774C0608">
            <w:pPr>
              <w:numPr>
                <w:ilvl w:val="0"/>
                <w:numId w:val="1"/>
              </w:numPr>
              <w:spacing w:line="360" w:lineRule="auto"/>
              <w:jc w:val="left"/>
              <w:rPr>
                <w:rFonts w:hint="eastAsia" w:ascii="宋体" w:hAnsi="宋体"/>
                <w:bCs/>
                <w:iCs/>
                <w:color w:val="000000"/>
                <w:sz w:val="24"/>
              </w:rPr>
            </w:pPr>
            <w:r>
              <w:rPr>
                <w:rFonts w:ascii="宋体" w:hAnsi="宋体"/>
                <w:bCs/>
                <w:iCs/>
                <w:color w:val="000000"/>
                <w:sz w:val="24"/>
              </w:rPr>
              <w:t>介绍公司发展战略及投资逻辑——何婧</w:t>
            </w:r>
          </w:p>
          <w:p w14:paraId="2717D4E2">
            <w:pPr>
              <w:numPr>
                <w:ilvl w:val="0"/>
                <w:numId w:val="1"/>
              </w:numPr>
              <w:spacing w:line="360" w:lineRule="auto"/>
              <w:jc w:val="left"/>
              <w:rPr>
                <w:rFonts w:hint="eastAsia" w:ascii="宋体" w:hAnsi="宋体" w:cs="宋体"/>
              </w:rPr>
            </w:pPr>
            <w:r>
              <w:rPr>
                <w:rFonts w:ascii="宋体" w:hAnsi="宋体"/>
                <w:bCs/>
                <w:iCs/>
                <w:color w:val="000000"/>
                <w:sz w:val="24"/>
              </w:rPr>
              <w:t>交流问答</w:t>
            </w:r>
          </w:p>
          <w:p w14:paraId="3BEC5A15">
            <w:pPr>
              <w:numPr>
                <w:ilvl w:val="255"/>
                <w:numId w:val="0"/>
              </w:numPr>
              <w:spacing w:line="360" w:lineRule="auto"/>
              <w:jc w:val="left"/>
              <w:rPr>
                <w:rFonts w:hint="eastAsia" w:ascii="宋体" w:hAnsi="宋体" w:cs="宋体"/>
              </w:rPr>
            </w:pPr>
          </w:p>
          <w:p w14:paraId="30A22088">
            <w:pPr>
              <w:spacing w:line="360" w:lineRule="auto"/>
              <w:jc w:val="left"/>
              <w:rPr>
                <w:rFonts w:hint="eastAsia" w:ascii="宋体" w:hAnsi="宋体" w:cs="宋体"/>
                <w:b/>
                <w:bCs/>
              </w:rPr>
            </w:pPr>
            <w:r>
              <w:rPr>
                <w:rFonts w:hint="eastAsia" w:ascii="宋体" w:hAnsi="宋体" w:cs="宋体"/>
                <w:b/>
                <w:bCs/>
              </w:rPr>
              <w:t>交流的主要问题与回复：</w:t>
            </w:r>
          </w:p>
          <w:p w14:paraId="6FA2A401">
            <w:pPr>
              <w:pStyle w:val="13"/>
              <w:numPr>
                <w:ilvl w:val="0"/>
                <w:numId w:val="2"/>
              </w:numPr>
              <w:spacing w:line="360" w:lineRule="auto"/>
              <w:ind w:firstLineChars="0"/>
              <w:jc w:val="left"/>
              <w:rPr>
                <w:rFonts w:hint="eastAsia" w:ascii="宋体" w:hAnsi="宋体" w:cs="宋体"/>
                <w:b/>
                <w:bCs/>
              </w:rPr>
            </w:pPr>
            <w:r>
              <w:rPr>
                <w:rFonts w:hint="eastAsia" w:ascii="宋体" w:hAnsi="宋体" w:cs="宋体"/>
                <w:b/>
                <w:bCs/>
              </w:rPr>
              <w:t>公司铁矿石产品竞争优势。</w:t>
            </w:r>
          </w:p>
          <w:p w14:paraId="3E315FFA">
            <w:pPr>
              <w:spacing w:line="360" w:lineRule="auto"/>
              <w:ind w:firstLine="420" w:firstLineChars="200"/>
              <w:jc w:val="left"/>
              <w:rPr>
                <w:rFonts w:hint="eastAsia" w:ascii="宋体" w:hAnsi="宋体" w:cs="宋体"/>
              </w:rPr>
            </w:pPr>
            <w:r>
              <w:rPr>
                <w:rFonts w:hint="eastAsia" w:ascii="宋体" w:hAnsi="宋体" w:cs="宋体"/>
              </w:rPr>
              <w:t>公司深耕铁矿石行业多年，是国内为数不多的以铁矿石采选为主业的上市公司之一。石碌铁矿截至202</w:t>
            </w:r>
            <w:r>
              <w:rPr>
                <w:rFonts w:hint="default" w:ascii="宋体" w:hAnsi="宋体" w:cs="宋体"/>
                <w:woUserID w:val="1"/>
              </w:rPr>
              <w:t>3</w:t>
            </w:r>
            <w:r>
              <w:rPr>
                <w:rFonts w:hint="eastAsia" w:ascii="宋体" w:hAnsi="宋体" w:cs="宋体"/>
              </w:rPr>
              <w:t>年末资源量为2.43亿吨，具有资源禀赋优势。由于石碌铁矿石品位及伴生元素的差异化，公司生产的铁矿石产品</w:t>
            </w:r>
            <w:r>
              <w:rPr>
                <w:rFonts w:ascii="宋体" w:hAnsi="宋体" w:cs="宋体"/>
              </w:rPr>
              <w:t>，特别是占到成品矿产量65%左右的块矿产品，不仅有超过50%的较高毛利率，同时</w:t>
            </w:r>
            <w:r>
              <w:rPr>
                <w:rFonts w:hint="eastAsia" w:ascii="宋体" w:hAnsi="宋体" w:cs="宋体"/>
              </w:rPr>
              <w:t>具有高硅、低铝、低磷、呈酸性等特质，更优于国内钢铁企业依赖进口的低硅含量铁矿石，能有效降低炼铁成本，是合理搭配高炉炉料结构的首选酸性配料。受益于多年的经营累积以及市场上对于公司“海南矿”的认可度，公司在行业内积累了良好的口碑，具备一定的品牌知名度和影响力，并已形成了稳定良好的客户基础，主要客户包括宝武资源控股（上海）有限公司、邯郸钢铁集团有限责任公司、敬业钢铁有限公司等，战略和长协客户订单占70%以上。此外，公司铁矿石采选技术特别是跳汰技术具备国内领先水平，具有技术领先优势。</w:t>
            </w:r>
          </w:p>
          <w:p w14:paraId="082DA47E">
            <w:pPr>
              <w:spacing w:line="360" w:lineRule="auto"/>
              <w:ind w:firstLine="420" w:firstLineChars="200"/>
              <w:jc w:val="left"/>
              <w:rPr>
                <w:rFonts w:hint="eastAsia" w:ascii="宋体" w:hAnsi="宋体" w:cs="宋体"/>
              </w:rPr>
            </w:pPr>
          </w:p>
          <w:p w14:paraId="0A10913B">
            <w:pPr>
              <w:pStyle w:val="13"/>
              <w:numPr>
                <w:ilvl w:val="0"/>
                <w:numId w:val="2"/>
              </w:numPr>
              <w:spacing w:line="360" w:lineRule="auto"/>
              <w:ind w:firstLineChars="0"/>
              <w:jc w:val="left"/>
              <w:rPr>
                <w:rFonts w:hint="eastAsia" w:ascii="宋体" w:hAnsi="宋体" w:cs="宋体"/>
                <w:b/>
                <w:bCs/>
              </w:rPr>
            </w:pPr>
            <w:r>
              <w:rPr>
                <w:rFonts w:ascii="宋体" w:hAnsi="宋体" w:cs="宋体"/>
                <w:b/>
                <w:bCs/>
              </w:rPr>
              <w:t>公司对</w:t>
            </w:r>
            <w:r>
              <w:rPr>
                <w:rFonts w:hint="eastAsia" w:ascii="宋体" w:hAnsi="宋体" w:cs="宋体"/>
                <w:b/>
                <w:bCs/>
              </w:rPr>
              <w:t>铁矿石价格</w:t>
            </w:r>
            <w:r>
              <w:rPr>
                <w:rFonts w:ascii="宋体" w:hAnsi="宋体" w:cs="宋体"/>
                <w:b/>
                <w:bCs/>
              </w:rPr>
              <w:t>明年</w:t>
            </w:r>
            <w:r>
              <w:rPr>
                <w:rFonts w:hint="eastAsia" w:ascii="宋体" w:hAnsi="宋体" w:cs="宋体"/>
                <w:b/>
                <w:bCs/>
              </w:rPr>
              <w:t>走势</w:t>
            </w:r>
            <w:r>
              <w:rPr>
                <w:rFonts w:ascii="宋体" w:hAnsi="宋体" w:cs="宋体"/>
                <w:b/>
                <w:bCs/>
              </w:rPr>
              <w:t>研判</w:t>
            </w:r>
            <w:r>
              <w:rPr>
                <w:rFonts w:hint="eastAsia" w:ascii="宋体" w:hAnsi="宋体" w:cs="宋体"/>
                <w:b/>
                <w:bCs/>
              </w:rPr>
              <w:t>如何？</w:t>
            </w:r>
          </w:p>
          <w:p w14:paraId="6F0715AD">
            <w:pPr>
              <w:spacing w:line="360" w:lineRule="auto"/>
              <w:ind w:firstLine="420" w:firstLineChars="200"/>
              <w:jc w:val="left"/>
              <w:rPr>
                <w:rFonts w:hint="eastAsia" w:ascii="宋体" w:hAnsi="宋体" w:cs="宋体"/>
              </w:rPr>
            </w:pPr>
            <w:r>
              <w:rPr>
                <w:rFonts w:ascii="宋体" w:hAnsi="宋体" w:cs="宋体"/>
              </w:rPr>
              <w:t>从供给端来看，虽然</w:t>
            </w:r>
            <w:r>
              <w:rPr>
                <w:rFonts w:hint="eastAsia" w:ascii="宋体" w:hAnsi="宋体" w:cs="宋体"/>
              </w:rPr>
              <w:t>未来会有</w:t>
            </w:r>
            <w:r>
              <w:rPr>
                <w:rFonts w:ascii="宋体" w:hAnsi="宋体" w:cs="宋体"/>
              </w:rPr>
              <w:t>新的铁矿石资源投放市场，但其释放速度不会很快</w:t>
            </w:r>
            <w:r>
              <w:rPr>
                <w:rFonts w:hint="eastAsia" w:ascii="宋体" w:hAnsi="宋体" w:cs="宋体"/>
              </w:rPr>
              <w:t>，而</w:t>
            </w:r>
            <w:r>
              <w:rPr>
                <w:rFonts w:ascii="宋体" w:hAnsi="宋体" w:cs="宋体"/>
              </w:rPr>
              <w:t>且总体量仍无法与四大矿山相比。从需求端分析，虽然房地产行业对</w:t>
            </w:r>
            <w:r>
              <w:rPr>
                <w:rFonts w:hint="eastAsia" w:ascii="宋体" w:hAnsi="宋体" w:cs="宋体"/>
              </w:rPr>
              <w:t>钢材</w:t>
            </w:r>
            <w:r>
              <w:rPr>
                <w:rFonts w:ascii="宋体" w:hAnsi="宋体" w:cs="宋体"/>
              </w:rPr>
              <w:t>需求有所下滑，但家电制造业、船舶制造等领域的板材需求增长以及</w:t>
            </w:r>
            <w:r>
              <w:rPr>
                <w:rFonts w:hint="eastAsia" w:ascii="宋体" w:hAnsi="宋体" w:cs="宋体"/>
              </w:rPr>
              <w:t>中东及南亚国家基建项目的持续增长对钢材需求量带来提振</w:t>
            </w:r>
            <w:r>
              <w:rPr>
                <w:rFonts w:ascii="宋体" w:hAnsi="宋体" w:cs="宋体"/>
              </w:rPr>
              <w:t>。</w:t>
            </w:r>
            <w:r>
              <w:rPr>
                <w:rFonts w:hint="eastAsia" w:ascii="宋体" w:hAnsi="宋体" w:cs="宋体"/>
              </w:rPr>
              <w:t xml:space="preserve">因此，根据第三方预测及公司自身的判断， </w:t>
            </w:r>
            <w:r>
              <w:rPr>
                <w:rFonts w:ascii="宋体" w:hAnsi="宋体" w:cs="宋体"/>
              </w:rPr>
              <w:t>我们预计明年</w:t>
            </w:r>
            <w:r>
              <w:rPr>
                <w:rFonts w:hint="eastAsia" w:ascii="宋体" w:hAnsi="宋体" w:cs="宋体"/>
              </w:rPr>
              <w:t>铁矿石</w:t>
            </w:r>
            <w:r>
              <w:rPr>
                <w:rFonts w:ascii="宋体" w:hAnsi="宋体" w:cs="宋体"/>
              </w:rPr>
              <w:t>62%普指</w:t>
            </w:r>
            <w:r>
              <w:rPr>
                <w:rFonts w:hint="eastAsia" w:ascii="宋体" w:hAnsi="宋体" w:cs="宋体"/>
              </w:rPr>
              <w:t>价格中枢可能会在90到100美金</w:t>
            </w:r>
            <w:r>
              <w:rPr>
                <w:rFonts w:ascii="宋体" w:hAnsi="宋体" w:cs="宋体"/>
              </w:rPr>
              <w:t>之间</w:t>
            </w:r>
            <w:r>
              <w:rPr>
                <w:rFonts w:hint="eastAsia" w:ascii="宋体" w:hAnsi="宋体" w:cs="宋体"/>
              </w:rPr>
              <w:t>。</w:t>
            </w:r>
          </w:p>
          <w:p w14:paraId="43EE8850">
            <w:pPr>
              <w:spacing w:line="360" w:lineRule="auto"/>
              <w:jc w:val="left"/>
              <w:rPr>
                <w:rFonts w:hint="eastAsia" w:ascii="宋体" w:hAnsi="宋体" w:cs="宋体"/>
              </w:rPr>
            </w:pPr>
          </w:p>
          <w:p w14:paraId="55081F9B">
            <w:pPr>
              <w:pStyle w:val="13"/>
              <w:numPr>
                <w:ilvl w:val="0"/>
                <w:numId w:val="2"/>
              </w:numPr>
              <w:spacing w:line="360" w:lineRule="auto"/>
              <w:ind w:firstLineChars="0"/>
              <w:jc w:val="left"/>
              <w:rPr>
                <w:rFonts w:hint="eastAsia" w:ascii="宋体" w:hAnsi="宋体" w:cs="宋体"/>
                <w:b/>
                <w:bCs/>
              </w:rPr>
            </w:pPr>
            <w:r>
              <w:rPr>
                <w:rFonts w:hint="eastAsia" w:ascii="宋体" w:hAnsi="宋体" w:cs="宋体"/>
                <w:b/>
                <w:bCs/>
              </w:rPr>
              <w:t>氢氧化锂项目</w:t>
            </w:r>
            <w:r>
              <w:rPr>
                <w:rFonts w:ascii="宋体" w:hAnsi="宋体" w:cs="宋体"/>
                <w:b/>
                <w:bCs/>
              </w:rPr>
              <w:t>建设进展如何？</w:t>
            </w:r>
          </w:p>
          <w:p w14:paraId="426087C9">
            <w:pPr>
              <w:spacing w:line="360" w:lineRule="auto"/>
              <w:jc w:val="left"/>
              <w:rPr>
                <w:rFonts w:ascii="宋体" w:hAnsi="宋体" w:cs="宋体"/>
              </w:rPr>
            </w:pPr>
            <w:r>
              <w:rPr>
                <w:rFonts w:hint="eastAsia" w:ascii="宋体" w:hAnsi="宋体" w:cs="宋体"/>
              </w:rPr>
              <w:t>位于海南洋浦的2万吨氢氧化锂项目试生产前准备工作有序推进，试生产所需的1.5万吨锂精矿原料已经全部入库，项目预计于2024年内建成并试生产，2025年</w:t>
            </w:r>
            <w:r>
              <w:rPr>
                <w:rFonts w:ascii="宋体" w:hAnsi="宋体" w:cs="宋体"/>
              </w:rPr>
              <w:t>年初</w:t>
            </w:r>
            <w:r>
              <w:rPr>
                <w:rFonts w:hint="eastAsia" w:ascii="宋体" w:hAnsi="宋体" w:cs="宋体"/>
              </w:rPr>
              <w:t>合格品下线。</w:t>
            </w:r>
          </w:p>
          <w:p w14:paraId="027BC6F0">
            <w:pPr>
              <w:spacing w:line="360" w:lineRule="auto"/>
              <w:jc w:val="left"/>
              <w:rPr>
                <w:rFonts w:hint="eastAsia" w:ascii="宋体" w:hAnsi="宋体" w:cs="宋体"/>
              </w:rPr>
            </w:pPr>
          </w:p>
          <w:p w14:paraId="4A70366F">
            <w:pPr>
              <w:pStyle w:val="13"/>
              <w:numPr>
                <w:ilvl w:val="0"/>
                <w:numId w:val="2"/>
              </w:numPr>
              <w:spacing w:line="360" w:lineRule="auto"/>
              <w:ind w:firstLineChars="0"/>
              <w:jc w:val="left"/>
              <w:rPr>
                <w:rFonts w:hint="eastAsia" w:ascii="宋体" w:hAnsi="宋体" w:cs="宋体"/>
                <w:b/>
                <w:bCs/>
              </w:rPr>
            </w:pPr>
            <w:r>
              <w:rPr>
                <w:rFonts w:hint="eastAsia" w:ascii="宋体" w:hAnsi="宋体" w:cs="宋体"/>
                <w:b/>
                <w:bCs/>
              </w:rPr>
              <w:t>氢氧化锂项目相较于其他竞争对手有何优势？</w:t>
            </w:r>
          </w:p>
          <w:p w14:paraId="49250461">
            <w:pPr>
              <w:spacing w:line="360" w:lineRule="auto"/>
              <w:ind w:firstLine="420" w:firstLineChars="200"/>
              <w:jc w:val="left"/>
              <w:rPr>
                <w:rFonts w:hint="eastAsia" w:ascii="宋体" w:hAnsi="宋体" w:cs="宋体"/>
              </w:rPr>
            </w:pPr>
            <w:r>
              <w:rPr>
                <w:rFonts w:hint="eastAsia" w:ascii="宋体" w:hAnsi="宋体" w:cs="宋体"/>
              </w:rPr>
              <w:t>新能源上游领域是公司重点关注和布局的主赛道，并且是要长期深耕的产业，低成本的上游保障是产业布局的核心。公司氢氧化锂（一期）2万吨产品为电池级单水氢氧化锂，针对日韩等高镍三元锂电池企业，采用成熟可靠的酸化-冷冻法生产工艺技术</w:t>
            </w:r>
            <w:r>
              <w:rPr>
                <w:rFonts w:ascii="宋体" w:hAnsi="宋体" w:cs="宋体"/>
              </w:rPr>
              <w:t>并配以先进的自动化产线和</w:t>
            </w:r>
            <w:r>
              <w:rPr>
                <w:rFonts w:hint="eastAsia" w:ascii="宋体" w:hAnsi="宋体" w:cs="宋体"/>
              </w:rPr>
              <w:t>具有多年锂行业生产经验的技术团队，确保在生产效率、锂回收率以及产品质量上达到同行业先进水平。</w:t>
            </w:r>
          </w:p>
          <w:p w14:paraId="7BD0CCE4">
            <w:pPr>
              <w:spacing w:line="360" w:lineRule="auto"/>
              <w:ind w:firstLine="420" w:firstLineChars="200"/>
              <w:jc w:val="left"/>
              <w:rPr>
                <w:rFonts w:hint="eastAsia" w:ascii="宋体" w:hAnsi="宋体" w:cs="宋体"/>
              </w:rPr>
            </w:pPr>
            <w:r>
              <w:rPr>
                <w:rFonts w:hint="eastAsia" w:ascii="宋体" w:hAnsi="宋体" w:cs="宋体"/>
              </w:rPr>
              <w:t>公司致力于打造从锂资源自主开发到锂盐加工一体化的产业模式，通过产业链上下游协同</w:t>
            </w:r>
            <w:r>
              <w:rPr>
                <w:rFonts w:ascii="宋体" w:hAnsi="宋体" w:cs="宋体"/>
              </w:rPr>
              <w:t>能有效控制成本</w:t>
            </w:r>
            <w:r>
              <w:rPr>
                <w:rFonts w:hint="eastAsia" w:ascii="宋体" w:hAnsi="宋体" w:cs="宋体"/>
              </w:rPr>
              <w:t>，</w:t>
            </w:r>
            <w:r>
              <w:rPr>
                <w:rFonts w:ascii="宋体" w:hAnsi="宋体" w:cs="宋体"/>
              </w:rPr>
              <w:t>目前预计一体化成本可以控制在不超过7万元/吨的水平。此外，公司还将</w:t>
            </w:r>
            <w:r>
              <w:rPr>
                <w:rFonts w:hint="eastAsia" w:ascii="宋体" w:hAnsi="宋体" w:cs="宋体"/>
              </w:rPr>
              <w:t>积极利用海南自贸港税收优惠政策，</w:t>
            </w:r>
            <w:r>
              <w:rPr>
                <w:rFonts w:ascii="宋体" w:hAnsi="宋体" w:cs="宋体"/>
              </w:rPr>
              <w:t>进一步增强</w:t>
            </w:r>
            <w:r>
              <w:rPr>
                <w:rFonts w:hint="eastAsia" w:ascii="宋体" w:hAnsi="宋体" w:cs="宋体"/>
              </w:rPr>
              <w:t>公司氢氧化锂产品的成本竞争优势和市场竞争力。</w:t>
            </w:r>
          </w:p>
          <w:p w14:paraId="3E50D486">
            <w:pPr>
              <w:spacing w:line="360" w:lineRule="auto"/>
              <w:jc w:val="left"/>
              <w:rPr>
                <w:rFonts w:hint="eastAsia" w:ascii="宋体" w:hAnsi="宋体" w:cs="宋体"/>
              </w:rPr>
            </w:pPr>
          </w:p>
          <w:p w14:paraId="5251E6A8">
            <w:pPr>
              <w:pStyle w:val="13"/>
              <w:numPr>
                <w:ilvl w:val="0"/>
                <w:numId w:val="2"/>
              </w:numPr>
              <w:spacing w:line="360" w:lineRule="auto"/>
              <w:ind w:firstLineChars="0"/>
              <w:jc w:val="left"/>
              <w:rPr>
                <w:rFonts w:hint="eastAsia" w:ascii="宋体" w:hAnsi="宋体" w:cs="宋体"/>
                <w:b/>
                <w:bCs/>
              </w:rPr>
            </w:pPr>
            <w:r>
              <w:rPr>
                <w:rFonts w:hint="eastAsia" w:ascii="宋体" w:hAnsi="宋体" w:cs="宋体"/>
                <w:b/>
                <w:bCs/>
              </w:rPr>
              <w:t>公司在战略规划和并购方面有何</w:t>
            </w:r>
            <w:r>
              <w:rPr>
                <w:rFonts w:ascii="宋体" w:hAnsi="宋体" w:cs="宋体"/>
                <w:b/>
                <w:bCs/>
              </w:rPr>
              <w:t>计划</w:t>
            </w:r>
            <w:r>
              <w:rPr>
                <w:rFonts w:hint="eastAsia" w:ascii="宋体" w:hAnsi="宋体" w:cs="宋体"/>
                <w:b/>
                <w:bCs/>
              </w:rPr>
              <w:t>？</w:t>
            </w:r>
          </w:p>
          <w:p w14:paraId="1294805D">
            <w:pPr>
              <w:spacing w:line="360" w:lineRule="auto"/>
              <w:ind w:firstLine="420" w:firstLineChars="200"/>
              <w:jc w:val="left"/>
              <w:rPr>
                <w:rFonts w:hint="eastAsia" w:ascii="宋体" w:hAnsi="宋体" w:cs="宋体"/>
              </w:rPr>
            </w:pPr>
            <w:r>
              <w:rPr>
                <w:rFonts w:ascii="宋体" w:hAnsi="宋体" w:cs="宋体"/>
              </w:rPr>
              <w:t>公司近年来坚持“产业运营”与“产业投资”的双轮驱动战略，不断深化“铁矿石+油气+新能源”产业布局，在未来发展方面，充分发挥我们在矿产资源采掘领域及油气勘探开发领域的技术和经验优势，聚焦战略性资源，力争成为具有国际影响力的产业发展集团。</w:t>
            </w:r>
          </w:p>
          <w:p w14:paraId="212CC737">
            <w:pPr>
              <w:spacing w:line="360" w:lineRule="auto"/>
              <w:ind w:firstLine="420" w:firstLineChars="200"/>
              <w:jc w:val="left"/>
              <w:rPr>
                <w:rFonts w:hint="eastAsia" w:ascii="宋体" w:hAnsi="宋体" w:cs="宋体"/>
              </w:rPr>
            </w:pPr>
            <w:r>
              <w:rPr>
                <w:rFonts w:ascii="宋体" w:hAnsi="宋体" w:cs="宋体"/>
              </w:rPr>
              <w:t>公司未来将继续围绕战略性资源进行投资并购，每年战略预算均设置了具有一定规模的投资并购项目落地目标，</w:t>
            </w:r>
            <w:r>
              <w:rPr>
                <w:rFonts w:hint="eastAsia" w:ascii="宋体" w:hAnsi="宋体" w:cs="宋体"/>
              </w:rPr>
              <w:t>控股股东</w:t>
            </w:r>
            <w:r>
              <w:rPr>
                <w:rFonts w:ascii="宋体" w:hAnsi="宋体" w:cs="宋体"/>
              </w:rPr>
              <w:t>复星集团凭借强大的海外投资并购能力为我们提供了竞争优势，后续会保持一定的并购力度</w:t>
            </w:r>
            <w:r>
              <w:rPr>
                <w:rFonts w:hint="eastAsia" w:ascii="宋体" w:hAnsi="宋体" w:cs="宋体"/>
              </w:rPr>
              <w:t>，</w:t>
            </w:r>
            <w:r>
              <w:rPr>
                <w:rFonts w:ascii="宋体" w:hAnsi="宋体" w:cs="宋体"/>
              </w:rPr>
              <w:t>但具体投资并购项目的选择需要取决于市场机遇和结合国家和市场需求、行业周期、各个项目本身具体情况以及与公司战略的匹配和协同情况来判断。</w:t>
            </w:r>
          </w:p>
          <w:p w14:paraId="684491B8">
            <w:pPr>
              <w:spacing w:line="360" w:lineRule="auto"/>
              <w:ind w:firstLine="420" w:firstLineChars="200"/>
              <w:jc w:val="left"/>
              <w:rPr>
                <w:rFonts w:hint="eastAsia" w:ascii="宋体" w:hAnsi="宋体" w:cs="宋体"/>
              </w:rPr>
            </w:pPr>
          </w:p>
          <w:p w14:paraId="22F4245A">
            <w:pPr>
              <w:pStyle w:val="13"/>
              <w:numPr>
                <w:ilvl w:val="0"/>
                <w:numId w:val="2"/>
              </w:numPr>
              <w:spacing w:line="360" w:lineRule="auto"/>
              <w:ind w:firstLineChars="0"/>
              <w:jc w:val="left"/>
              <w:rPr>
                <w:rFonts w:hint="eastAsia" w:ascii="宋体" w:hAnsi="宋体" w:cs="宋体"/>
                <w:b/>
                <w:bCs/>
              </w:rPr>
            </w:pPr>
            <w:r>
              <w:rPr>
                <w:rFonts w:hint="eastAsia" w:ascii="宋体" w:hAnsi="宋体" w:cs="宋体"/>
                <w:b/>
                <w:bCs/>
              </w:rPr>
              <w:t>在油气业务方面，公司如何应对价格波动带来的风险？</w:t>
            </w:r>
          </w:p>
          <w:p w14:paraId="49465ABB">
            <w:pPr>
              <w:spacing w:line="360" w:lineRule="auto"/>
              <w:ind w:firstLine="420" w:firstLineChars="200"/>
              <w:jc w:val="left"/>
              <w:rPr>
                <w:rFonts w:hint="eastAsia" w:ascii="宋体" w:hAnsi="宋体" w:cs="宋体"/>
              </w:rPr>
            </w:pPr>
            <w:r>
              <w:rPr>
                <w:rFonts w:hint="eastAsia" w:ascii="宋体" w:hAnsi="宋体" w:cs="宋体"/>
              </w:rPr>
              <w:t>公司的</w:t>
            </w:r>
            <w:r>
              <w:rPr>
                <w:rFonts w:ascii="宋体" w:hAnsi="宋体" w:cs="宋体"/>
              </w:rPr>
              <w:t>原油及天然气产品直接销售至合作的国家石油公司，原油产品售价贴合布伦特原油价格。天然气产品主要在中国进行销售，目前主要参考政府制定的基准管道气门站价，价格稳定。</w:t>
            </w:r>
          </w:p>
          <w:p w14:paraId="059B62F6">
            <w:pPr>
              <w:spacing w:line="360" w:lineRule="auto"/>
              <w:ind w:firstLine="420" w:firstLineChars="200"/>
              <w:jc w:val="left"/>
              <w:rPr>
                <w:rFonts w:hint="eastAsia" w:ascii="宋体" w:hAnsi="宋体" w:cs="宋体"/>
              </w:rPr>
            </w:pPr>
            <w:r>
              <w:rPr>
                <w:rFonts w:ascii="宋体" w:hAnsi="宋体" w:cs="宋体"/>
              </w:rPr>
              <w:t>虽然面临</w:t>
            </w:r>
            <w:r>
              <w:rPr>
                <w:rFonts w:hint="eastAsia" w:ascii="宋体" w:hAnsi="宋体" w:cs="宋体"/>
              </w:rPr>
              <w:t>原油价格</w:t>
            </w:r>
            <w:r>
              <w:rPr>
                <w:rFonts w:ascii="宋体" w:hAnsi="宋体" w:cs="宋体"/>
              </w:rPr>
              <w:t>波动风险，但在公司油气业务的资产组合中，售价和毛利率稳定的天然气业务产量占比超过60%，能能较好地稳定整个油气板块的收益；同时，得益于洛克团队良好的管理和运营能力，目前公司在产的油田项目平均成本约为35美元/桶，有一定的竞争优势，且</w:t>
            </w:r>
            <w:r>
              <w:rPr>
                <w:rFonts w:hint="eastAsia" w:ascii="宋体" w:hAnsi="宋体" w:cs="宋体"/>
              </w:rPr>
              <w:t>正在</w:t>
            </w:r>
            <w:r>
              <w:rPr>
                <w:rFonts w:ascii="宋体" w:hAnsi="宋体" w:cs="宋体"/>
              </w:rPr>
              <w:t>并购交易</w:t>
            </w:r>
            <w:r>
              <w:rPr>
                <w:rFonts w:hint="eastAsia" w:ascii="宋体" w:hAnsi="宋体" w:cs="宋体"/>
              </w:rPr>
              <w:t>中的</w:t>
            </w:r>
            <w:r>
              <w:rPr>
                <w:rFonts w:ascii="宋体" w:hAnsi="宋体" w:cs="宋体"/>
              </w:rPr>
              <w:t>阿曼</w:t>
            </w:r>
            <w:r>
              <w:rPr>
                <w:rFonts w:hint="eastAsia" w:ascii="宋体" w:hAnsi="宋体" w:cs="宋体"/>
              </w:rPr>
              <w:t>项目</w:t>
            </w:r>
            <w:r>
              <w:rPr>
                <w:rFonts w:ascii="宋体" w:hAnsi="宋体" w:cs="宋体"/>
              </w:rPr>
              <w:t>3&amp;4区块的成本更低；此外，公司也</w:t>
            </w:r>
            <w:r>
              <w:rPr>
                <w:rFonts w:hint="eastAsia" w:ascii="宋体" w:hAnsi="宋体" w:cs="宋体"/>
              </w:rPr>
              <w:t>将在分析研究行业数据基础上，结合实际生产经营情况，适当开展套期保值业务，锁定利润，对冲价格波动带来的风险。</w:t>
            </w:r>
          </w:p>
          <w:p w14:paraId="0CA1DD96">
            <w:pPr>
              <w:spacing w:line="360" w:lineRule="auto"/>
              <w:ind w:firstLine="420" w:firstLineChars="200"/>
              <w:jc w:val="left"/>
              <w:rPr>
                <w:rFonts w:hint="eastAsia" w:ascii="宋体" w:hAnsi="宋体" w:cs="宋体"/>
              </w:rPr>
            </w:pPr>
          </w:p>
          <w:p w14:paraId="370B0484">
            <w:pPr>
              <w:pStyle w:val="13"/>
              <w:numPr>
                <w:ilvl w:val="0"/>
                <w:numId w:val="2"/>
              </w:numPr>
              <w:spacing w:line="360" w:lineRule="auto"/>
              <w:ind w:firstLineChars="0"/>
              <w:jc w:val="left"/>
              <w:rPr>
                <w:rFonts w:hint="eastAsia" w:ascii="宋体" w:hAnsi="宋体" w:cs="宋体"/>
                <w:b/>
                <w:bCs/>
              </w:rPr>
            </w:pPr>
            <w:r>
              <w:rPr>
                <w:rFonts w:hint="eastAsia" w:ascii="宋体" w:hAnsi="宋体" w:cs="宋体"/>
                <w:b/>
                <w:bCs/>
              </w:rPr>
              <w:t>公司所构建的业绩安全垫体现在哪几个方面？</w:t>
            </w:r>
          </w:p>
          <w:p w14:paraId="213BB8FA">
            <w:pPr>
              <w:spacing w:line="360" w:lineRule="auto"/>
              <w:ind w:firstLine="420" w:firstLineChars="200"/>
              <w:jc w:val="left"/>
              <w:rPr>
                <w:rFonts w:hint="eastAsia" w:ascii="宋体" w:hAnsi="宋体" w:cs="宋体"/>
              </w:rPr>
            </w:pPr>
            <w:r>
              <w:rPr>
                <w:rFonts w:hint="eastAsia" w:ascii="宋体" w:hAnsi="宋体" w:cs="宋体"/>
              </w:rPr>
              <w:t>铁矿石业务是公司的压舱石，一方面</w:t>
            </w:r>
            <w:r>
              <w:rPr>
                <w:rFonts w:ascii="宋体" w:hAnsi="宋体" w:cs="宋体"/>
              </w:rPr>
              <w:t>广受市场欢迎的非主流块矿产品生产成本低、销售价格波动较小、毛利率较高</w:t>
            </w:r>
            <w:r>
              <w:rPr>
                <w:rFonts w:hint="eastAsia" w:ascii="宋体" w:hAnsi="宋体" w:cs="宋体"/>
              </w:rPr>
              <w:t>，</w:t>
            </w:r>
            <w:r>
              <w:rPr>
                <w:rFonts w:ascii="宋体" w:hAnsi="宋体" w:cs="宋体"/>
              </w:rPr>
              <w:t>奠定了铁矿石产品的安全垫；</w:t>
            </w:r>
            <w:r>
              <w:rPr>
                <w:rFonts w:hint="eastAsia" w:ascii="宋体" w:hAnsi="宋体" w:cs="宋体"/>
              </w:rPr>
              <w:t>另一方面通过实施磁化焙烧技改</w:t>
            </w:r>
            <w:r>
              <w:rPr>
                <w:rFonts w:ascii="宋体" w:hAnsi="宋体" w:cs="宋体"/>
              </w:rPr>
              <w:t>提升铁精粉产品的利润率；同时，石碌分公司</w:t>
            </w:r>
            <w:r>
              <w:rPr>
                <w:rFonts w:hint="eastAsia" w:ascii="宋体" w:hAnsi="宋体" w:cs="宋体"/>
              </w:rPr>
              <w:t>持续推进精益管理等方式实现降本增效</w:t>
            </w:r>
            <w:r>
              <w:rPr>
                <w:rFonts w:ascii="宋体" w:hAnsi="宋体" w:cs="宋体"/>
              </w:rPr>
              <w:t>，保持稳定利润</w:t>
            </w:r>
            <w:r>
              <w:rPr>
                <w:rFonts w:hint="eastAsia" w:ascii="宋体" w:hAnsi="宋体" w:cs="宋体"/>
              </w:rPr>
              <w:t>。</w:t>
            </w:r>
          </w:p>
          <w:p w14:paraId="07EC7098">
            <w:pPr>
              <w:spacing w:line="360" w:lineRule="auto"/>
              <w:ind w:firstLine="420" w:firstLineChars="200"/>
              <w:jc w:val="left"/>
              <w:rPr>
                <w:rFonts w:hint="eastAsia" w:ascii="宋体" w:hAnsi="宋体" w:cs="宋体"/>
              </w:rPr>
            </w:pPr>
            <w:r>
              <w:rPr>
                <w:rFonts w:ascii="宋体" w:hAnsi="宋体" w:cs="宋体"/>
              </w:rPr>
              <w:t>此外，公司在油气业务的布局在不断扩大，油气业务有效</w:t>
            </w:r>
            <w:r>
              <w:rPr>
                <w:rFonts w:hint="eastAsia" w:ascii="宋体" w:hAnsi="宋体" w:cs="宋体"/>
              </w:rPr>
              <w:t>平滑铁矿石单一产品价格波动对公司业绩的影响。</w:t>
            </w:r>
            <w:r>
              <w:rPr>
                <w:rFonts w:ascii="宋体" w:hAnsi="宋体" w:cs="宋体"/>
              </w:rPr>
              <w:t>其中天然气业务售价及成本稳定，产量稳定在较高水平且还有一定的增长空间，保障了油气业务的安全垫。原油业务方面，公司正在推进的全面要约收购的阿曼油田既有在产区块又有勘探区块，目前在产的3&amp;4区块年产量约300万桶，按照要约收购计划，如可按期在2024年内完成结算，则2025年公司原油产量将可增加约300万桶</w:t>
            </w:r>
            <w:r>
              <w:rPr>
                <w:rFonts w:hint="eastAsia" w:ascii="宋体" w:hAnsi="宋体" w:cs="宋体"/>
              </w:rPr>
              <w:t>，将</w:t>
            </w:r>
            <w:r>
              <w:rPr>
                <w:rFonts w:ascii="宋体" w:hAnsi="宋体" w:cs="宋体"/>
              </w:rPr>
              <w:t>进一步巩固并提升公司的</w:t>
            </w:r>
            <w:r>
              <w:rPr>
                <w:rFonts w:hint="eastAsia" w:ascii="宋体" w:hAnsi="宋体" w:cs="宋体"/>
              </w:rPr>
              <w:t>油气业务的</w:t>
            </w:r>
            <w:r>
              <w:rPr>
                <w:rFonts w:ascii="宋体" w:hAnsi="宋体" w:cs="宋体"/>
              </w:rPr>
              <w:t>盈利能力</w:t>
            </w:r>
            <w:r>
              <w:rPr>
                <w:rFonts w:hint="eastAsia" w:ascii="宋体" w:hAnsi="宋体" w:cs="宋体"/>
              </w:rPr>
              <w:t>，</w:t>
            </w:r>
            <w:r>
              <w:rPr>
                <w:rFonts w:ascii="宋体" w:hAnsi="宋体" w:cs="宋体"/>
              </w:rPr>
              <w:t>油气业务对公司整体业绩的贡献</w:t>
            </w:r>
            <w:r>
              <w:rPr>
                <w:rFonts w:hint="eastAsia" w:ascii="宋体" w:hAnsi="宋体" w:cs="宋体"/>
              </w:rPr>
              <w:t>预计</w:t>
            </w:r>
            <w:r>
              <w:rPr>
                <w:rFonts w:ascii="宋体" w:hAnsi="宋体" w:cs="宋体"/>
              </w:rPr>
              <w:t>将持续增强。</w:t>
            </w:r>
          </w:p>
          <w:p w14:paraId="46035529">
            <w:pPr>
              <w:spacing w:line="360" w:lineRule="auto"/>
              <w:ind w:firstLine="420" w:firstLineChars="200"/>
              <w:jc w:val="left"/>
              <w:rPr>
                <w:rFonts w:hint="eastAsia" w:ascii="宋体" w:hAnsi="宋体" w:cs="宋体"/>
              </w:rPr>
            </w:pPr>
            <w:r>
              <w:rPr>
                <w:rFonts w:hint="eastAsia" w:ascii="宋体" w:hAnsi="宋体" w:cs="宋体"/>
              </w:rPr>
              <w:t>新能源上游领域是公司重点关注和布局的主赛道，并且是要长期深耕的产业，低成本的上游保障是产业布局的核心。公司在加快2万吨氢氧化锂项目及Bougouni锂矿将分别于</w:t>
            </w:r>
            <w:r>
              <w:rPr>
                <w:rFonts w:ascii="宋体" w:hAnsi="宋体" w:cs="宋体"/>
              </w:rPr>
              <w:t>2024年内建成并试生产</w:t>
            </w:r>
            <w:r>
              <w:rPr>
                <w:rFonts w:hint="eastAsia" w:ascii="宋体" w:hAnsi="宋体" w:cs="宋体"/>
              </w:rPr>
              <w:t>和</w:t>
            </w:r>
            <w:r>
              <w:rPr>
                <w:rFonts w:ascii="宋体" w:hAnsi="宋体" w:cs="宋体"/>
              </w:rPr>
              <w:t>2025年初建成投产</w:t>
            </w:r>
            <w:r>
              <w:rPr>
                <w:rFonts w:hint="eastAsia" w:ascii="宋体" w:hAnsi="宋体" w:cs="宋体"/>
              </w:rPr>
              <w:t>。公司致力于打造从锂资源自主开发到锂盐加工一体化的产业模式，通过产业链上下游协同发展提升整体竞争力，并积极利用海南自贸港税收优惠政策，保障公司氢氧化锂产品的成本竞争优势和市场竞争力。</w:t>
            </w:r>
          </w:p>
        </w:tc>
      </w:tr>
      <w:tr w14:paraId="47D7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Borders>
              <w:top w:val="single" w:color="auto" w:sz="4" w:space="0"/>
              <w:left w:val="single" w:color="auto" w:sz="4" w:space="0"/>
              <w:bottom w:val="single" w:color="auto" w:sz="4" w:space="0"/>
              <w:right w:val="single" w:color="auto" w:sz="4" w:space="0"/>
            </w:tcBorders>
            <w:vAlign w:val="center"/>
          </w:tcPr>
          <w:p w14:paraId="2B7C0F01">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附件清单（如有）</w:t>
            </w:r>
          </w:p>
        </w:tc>
        <w:tc>
          <w:tcPr>
            <w:tcW w:w="4206" w:type="pct"/>
            <w:tcBorders>
              <w:top w:val="single" w:color="auto" w:sz="4" w:space="0"/>
              <w:left w:val="single" w:color="auto" w:sz="4" w:space="0"/>
              <w:bottom w:val="single" w:color="auto" w:sz="4" w:space="0"/>
              <w:right w:val="single" w:color="auto" w:sz="4" w:space="0"/>
            </w:tcBorders>
            <w:vAlign w:val="center"/>
          </w:tcPr>
          <w:p w14:paraId="67286307">
            <w:pPr>
              <w:spacing w:before="93" w:beforeLines="30" w:after="93" w:afterLines="30" w:line="360" w:lineRule="auto"/>
              <w:rPr>
                <w:rFonts w:hint="eastAsia" w:ascii="宋体" w:hAnsi="宋体"/>
                <w:bCs/>
                <w:iCs/>
                <w:color w:val="000000"/>
                <w:sz w:val="24"/>
              </w:rPr>
            </w:pPr>
            <w:r>
              <w:rPr>
                <w:rFonts w:hint="eastAsia"/>
                <w:sz w:val="24"/>
              </w:rPr>
              <w:t>无</w:t>
            </w:r>
          </w:p>
        </w:tc>
      </w:tr>
      <w:tr w14:paraId="1719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Borders>
              <w:top w:val="single" w:color="auto" w:sz="4" w:space="0"/>
              <w:left w:val="single" w:color="auto" w:sz="4" w:space="0"/>
              <w:bottom w:val="single" w:color="auto" w:sz="4" w:space="0"/>
              <w:right w:val="single" w:color="auto" w:sz="4" w:space="0"/>
            </w:tcBorders>
            <w:vAlign w:val="center"/>
          </w:tcPr>
          <w:p w14:paraId="15573F73">
            <w:pPr>
              <w:spacing w:before="93" w:beforeLines="30" w:after="93" w:afterLines="30" w:line="380" w:lineRule="exact"/>
              <w:jc w:val="center"/>
              <w:rPr>
                <w:rFonts w:hint="eastAsia" w:ascii="宋体" w:hAnsi="宋体"/>
                <w:bCs/>
                <w:iCs/>
                <w:sz w:val="24"/>
              </w:rPr>
            </w:pPr>
            <w:r>
              <w:rPr>
                <w:rFonts w:hint="eastAsia" w:ascii="宋体" w:hAnsi="宋体"/>
                <w:bCs/>
                <w:iCs/>
                <w:sz w:val="24"/>
              </w:rPr>
              <w:t>填报日期</w:t>
            </w:r>
          </w:p>
        </w:tc>
        <w:tc>
          <w:tcPr>
            <w:tcW w:w="4206" w:type="pct"/>
            <w:tcBorders>
              <w:top w:val="single" w:color="auto" w:sz="4" w:space="0"/>
              <w:left w:val="single" w:color="auto" w:sz="4" w:space="0"/>
              <w:bottom w:val="single" w:color="auto" w:sz="4" w:space="0"/>
              <w:right w:val="single" w:color="auto" w:sz="4" w:space="0"/>
            </w:tcBorders>
            <w:vAlign w:val="center"/>
          </w:tcPr>
          <w:p w14:paraId="7DA059C2">
            <w:pPr>
              <w:spacing w:before="93" w:beforeLines="30" w:after="93" w:afterLines="30" w:line="360" w:lineRule="auto"/>
              <w:rPr>
                <w:rFonts w:hint="eastAsia" w:ascii="宋体" w:hAnsi="宋体"/>
                <w:bCs/>
                <w:iCs/>
                <w:sz w:val="24"/>
              </w:rPr>
            </w:pPr>
            <w:r>
              <w:rPr>
                <w:rFonts w:hint="eastAsia" w:ascii="宋体" w:hAnsi="宋体"/>
                <w:bCs/>
                <w:iCs/>
                <w:sz w:val="24"/>
              </w:rPr>
              <w:t>20</w:t>
            </w:r>
            <w:r>
              <w:rPr>
                <w:rFonts w:ascii="宋体" w:hAnsi="宋体"/>
                <w:bCs/>
                <w:iCs/>
                <w:sz w:val="24"/>
              </w:rPr>
              <w:t>2</w:t>
            </w:r>
            <w:r>
              <w:rPr>
                <w:rFonts w:hint="eastAsia" w:ascii="宋体" w:hAnsi="宋体"/>
                <w:bCs/>
                <w:iCs/>
                <w:sz w:val="24"/>
              </w:rPr>
              <w:t>4年11月19日</w:t>
            </w:r>
          </w:p>
        </w:tc>
      </w:tr>
    </w:tbl>
    <w:p w14:paraId="4CCCC991">
      <w:pPr>
        <w:rPr>
          <w:rFonts w:hint="eastAsia" w:asciiTheme="majorEastAsia" w:hAnsiTheme="majorEastAsia" w:eastAsiaTheme="majorEastAsia"/>
          <w:sz w:val="24"/>
        </w:rPr>
      </w:pPr>
    </w:p>
    <w:sectPr>
      <w:headerReference r:id="rId3" w:type="default"/>
      <w:pgSz w:w="11906" w:h="16838"/>
      <w:pgMar w:top="1304" w:right="1797" w:bottom="1304" w:left="1797" w:header="28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DDEE">
    <w:pPr>
      <w:pStyle w:val="5"/>
      <w:pBdr>
        <w:bottom w:val="single" w:color="auto" w:sz="4" w:space="1"/>
      </w:pBdr>
      <w:jc w:val="both"/>
    </w:pPr>
    <w:r>
      <w:rPr>
        <w:rFonts w:hint="eastAsia"/>
      </w:rPr>
      <w:t xml:space="preserve">  </w:t>
    </w:r>
  </w:p>
  <w:p w14:paraId="418CF76D">
    <w:pPr>
      <w:pStyle w:val="5"/>
      <w:pBdr>
        <w:bottom w:val="single" w:color="auto" w:sz="4" w:space="1"/>
      </w:pBdr>
      <w:jc w:val="both"/>
    </w:pPr>
  </w:p>
  <w:p w14:paraId="77414386">
    <w:pPr>
      <w:pStyle w:val="5"/>
      <w:pBdr>
        <w:bottom w:val="single" w:color="auto" w:sz="4" w:space="1"/>
      </w:pBdr>
      <w:jc w:val="both"/>
    </w:pPr>
  </w:p>
  <w:p w14:paraId="1A4FBCAB">
    <w:pPr>
      <w:pStyle w:val="5"/>
      <w:pBdr>
        <w:bottom w:val="single" w:color="auto" w:sz="4" w:space="1"/>
      </w:pBdr>
      <w:jc w:val="left"/>
    </w:pPr>
  </w:p>
  <w:p w14:paraId="27B03050">
    <w:pPr>
      <w:pStyle w:val="5"/>
      <w:pBdr>
        <w:bottom w:val="single" w:color="auto" w:sz="4" w:space="1"/>
      </w:pBdr>
      <w:jc w:val="left"/>
      <w:rPr>
        <w:sz w:val="21"/>
        <w:szCs w:val="21"/>
      </w:rPr>
    </w:pPr>
    <w:r>
      <w:rPr>
        <w:rFonts w:hint="eastAsia"/>
        <w:sz w:val="21"/>
        <w:szCs w:val="21"/>
      </w:rPr>
      <w:t>证券代码：60</w:t>
    </w:r>
    <w:r>
      <w:rPr>
        <w:sz w:val="21"/>
        <w:szCs w:val="21"/>
      </w:rPr>
      <w:t>1969</w:t>
    </w:r>
    <w:r>
      <w:rPr>
        <w:rFonts w:hint="eastAsia"/>
        <w:sz w:val="21"/>
        <w:szCs w:val="21"/>
      </w:rPr>
      <w:t xml:space="preserve">     </w:t>
    </w:r>
    <w:r>
      <w:rPr>
        <w:sz w:val="21"/>
        <w:szCs w:val="21"/>
      </w:rPr>
      <w:t xml:space="preserve">                                      </w:t>
    </w:r>
    <w:r>
      <w:rPr>
        <w:rFonts w:hint="eastAsia"/>
        <w:sz w:val="21"/>
        <w:szCs w:val="21"/>
      </w:rPr>
      <w:t xml:space="preserve"> 证券简称：海南矿业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521C3"/>
    <w:multiLevelType w:val="singleLevel"/>
    <w:tmpl w:val="F7E521C3"/>
    <w:lvl w:ilvl="0" w:tentative="0">
      <w:start w:val="1"/>
      <w:numFmt w:val="decimal"/>
      <w:suff w:val="nothing"/>
      <w:lvlText w:val="%1、"/>
      <w:lvlJc w:val="left"/>
    </w:lvl>
  </w:abstractNum>
  <w:abstractNum w:abstractNumId="1">
    <w:nsid w:val="16683BDC"/>
    <w:multiLevelType w:val="multilevel"/>
    <w:tmpl w:val="16683BDC"/>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19"/>
    <w:rsid w:val="00000B7F"/>
    <w:rsid w:val="00004CBE"/>
    <w:rsid w:val="00007F1E"/>
    <w:rsid w:val="000102B6"/>
    <w:rsid w:val="0001083B"/>
    <w:rsid w:val="000138D4"/>
    <w:rsid w:val="00015253"/>
    <w:rsid w:val="0001527D"/>
    <w:rsid w:val="00016C53"/>
    <w:rsid w:val="000174DD"/>
    <w:rsid w:val="00020121"/>
    <w:rsid w:val="0002092C"/>
    <w:rsid w:val="00026D4F"/>
    <w:rsid w:val="00030E79"/>
    <w:rsid w:val="0003199D"/>
    <w:rsid w:val="00033C7C"/>
    <w:rsid w:val="000352B8"/>
    <w:rsid w:val="00036FE3"/>
    <w:rsid w:val="00041920"/>
    <w:rsid w:val="0004353A"/>
    <w:rsid w:val="00043A08"/>
    <w:rsid w:val="00045634"/>
    <w:rsid w:val="00047396"/>
    <w:rsid w:val="0005009F"/>
    <w:rsid w:val="000521D8"/>
    <w:rsid w:val="00052F07"/>
    <w:rsid w:val="00055943"/>
    <w:rsid w:val="000636C8"/>
    <w:rsid w:val="00066D81"/>
    <w:rsid w:val="00067700"/>
    <w:rsid w:val="0007356E"/>
    <w:rsid w:val="0007408B"/>
    <w:rsid w:val="00075C1D"/>
    <w:rsid w:val="00075C58"/>
    <w:rsid w:val="00076A03"/>
    <w:rsid w:val="00081DB4"/>
    <w:rsid w:val="000833B0"/>
    <w:rsid w:val="00085B6E"/>
    <w:rsid w:val="0009206D"/>
    <w:rsid w:val="000A0619"/>
    <w:rsid w:val="000A20F1"/>
    <w:rsid w:val="000A2421"/>
    <w:rsid w:val="000A33FD"/>
    <w:rsid w:val="000A4E62"/>
    <w:rsid w:val="000A6A41"/>
    <w:rsid w:val="000A705E"/>
    <w:rsid w:val="000A7BEA"/>
    <w:rsid w:val="000B02F7"/>
    <w:rsid w:val="000B210B"/>
    <w:rsid w:val="000B41C6"/>
    <w:rsid w:val="000B5D97"/>
    <w:rsid w:val="000B67AE"/>
    <w:rsid w:val="000C052D"/>
    <w:rsid w:val="000C2D0A"/>
    <w:rsid w:val="000D6348"/>
    <w:rsid w:val="000D73FB"/>
    <w:rsid w:val="000E529E"/>
    <w:rsid w:val="000E59F6"/>
    <w:rsid w:val="000F366E"/>
    <w:rsid w:val="000F3846"/>
    <w:rsid w:val="000F612B"/>
    <w:rsid w:val="000F6CFE"/>
    <w:rsid w:val="000F7CE5"/>
    <w:rsid w:val="00100D70"/>
    <w:rsid w:val="00102C53"/>
    <w:rsid w:val="00104526"/>
    <w:rsid w:val="0010470B"/>
    <w:rsid w:val="001056C8"/>
    <w:rsid w:val="00110773"/>
    <w:rsid w:val="00111608"/>
    <w:rsid w:val="0011258A"/>
    <w:rsid w:val="00112B18"/>
    <w:rsid w:val="00114F69"/>
    <w:rsid w:val="00116F93"/>
    <w:rsid w:val="00120C60"/>
    <w:rsid w:val="00124F2E"/>
    <w:rsid w:val="00133BFF"/>
    <w:rsid w:val="00136316"/>
    <w:rsid w:val="001368C4"/>
    <w:rsid w:val="00140A69"/>
    <w:rsid w:val="00141451"/>
    <w:rsid w:val="001419F8"/>
    <w:rsid w:val="00144008"/>
    <w:rsid w:val="0014684F"/>
    <w:rsid w:val="001622F8"/>
    <w:rsid w:val="00163523"/>
    <w:rsid w:val="00166E6A"/>
    <w:rsid w:val="00170587"/>
    <w:rsid w:val="00173FCD"/>
    <w:rsid w:val="00174580"/>
    <w:rsid w:val="00174F23"/>
    <w:rsid w:val="00175A26"/>
    <w:rsid w:val="00177283"/>
    <w:rsid w:val="001869A4"/>
    <w:rsid w:val="00190F08"/>
    <w:rsid w:val="0019419E"/>
    <w:rsid w:val="0019436E"/>
    <w:rsid w:val="0019474B"/>
    <w:rsid w:val="0019589F"/>
    <w:rsid w:val="00195975"/>
    <w:rsid w:val="001B19A0"/>
    <w:rsid w:val="001B2FE6"/>
    <w:rsid w:val="001B5157"/>
    <w:rsid w:val="001C17AE"/>
    <w:rsid w:val="001C1FF6"/>
    <w:rsid w:val="001C296F"/>
    <w:rsid w:val="001D03E5"/>
    <w:rsid w:val="001D273D"/>
    <w:rsid w:val="001D2F1D"/>
    <w:rsid w:val="001D3368"/>
    <w:rsid w:val="001D49E6"/>
    <w:rsid w:val="001D66B4"/>
    <w:rsid w:val="001D67DD"/>
    <w:rsid w:val="001E0F29"/>
    <w:rsid w:val="001E2132"/>
    <w:rsid w:val="001E42E0"/>
    <w:rsid w:val="001E7298"/>
    <w:rsid w:val="001F2595"/>
    <w:rsid w:val="001F2778"/>
    <w:rsid w:val="001F3FDD"/>
    <w:rsid w:val="001F735E"/>
    <w:rsid w:val="00205052"/>
    <w:rsid w:val="002114CE"/>
    <w:rsid w:val="0021211B"/>
    <w:rsid w:val="00212836"/>
    <w:rsid w:val="00213913"/>
    <w:rsid w:val="00215C15"/>
    <w:rsid w:val="0021749D"/>
    <w:rsid w:val="00223B81"/>
    <w:rsid w:val="002242FB"/>
    <w:rsid w:val="00225D6A"/>
    <w:rsid w:val="002301BF"/>
    <w:rsid w:val="002303B1"/>
    <w:rsid w:val="002328FF"/>
    <w:rsid w:val="00232926"/>
    <w:rsid w:val="002356A3"/>
    <w:rsid w:val="00235C89"/>
    <w:rsid w:val="00235EB2"/>
    <w:rsid w:val="002366E9"/>
    <w:rsid w:val="00237F63"/>
    <w:rsid w:val="00240804"/>
    <w:rsid w:val="0024118F"/>
    <w:rsid w:val="002419DC"/>
    <w:rsid w:val="00241EDA"/>
    <w:rsid w:val="0024420A"/>
    <w:rsid w:val="00245FDC"/>
    <w:rsid w:val="00251247"/>
    <w:rsid w:val="002562AB"/>
    <w:rsid w:val="00256434"/>
    <w:rsid w:val="002577E2"/>
    <w:rsid w:val="00257FC9"/>
    <w:rsid w:val="00260BB9"/>
    <w:rsid w:val="002611E4"/>
    <w:rsid w:val="0026182D"/>
    <w:rsid w:val="00263579"/>
    <w:rsid w:val="00266115"/>
    <w:rsid w:val="002679B3"/>
    <w:rsid w:val="00270624"/>
    <w:rsid w:val="00282A96"/>
    <w:rsid w:val="00283691"/>
    <w:rsid w:val="00292FDF"/>
    <w:rsid w:val="0029342F"/>
    <w:rsid w:val="002948BB"/>
    <w:rsid w:val="00296A7B"/>
    <w:rsid w:val="002B3F05"/>
    <w:rsid w:val="002B711C"/>
    <w:rsid w:val="002C4EEB"/>
    <w:rsid w:val="002C64DF"/>
    <w:rsid w:val="002C7B33"/>
    <w:rsid w:val="002D1BBF"/>
    <w:rsid w:val="002D24F4"/>
    <w:rsid w:val="002D28B5"/>
    <w:rsid w:val="002D7452"/>
    <w:rsid w:val="002D7E4A"/>
    <w:rsid w:val="002E00B5"/>
    <w:rsid w:val="002E067F"/>
    <w:rsid w:val="002E2D28"/>
    <w:rsid w:val="002E4DAA"/>
    <w:rsid w:val="002E556E"/>
    <w:rsid w:val="002F30A5"/>
    <w:rsid w:val="002F7792"/>
    <w:rsid w:val="00305C20"/>
    <w:rsid w:val="00306D1C"/>
    <w:rsid w:val="00317A1C"/>
    <w:rsid w:val="003248CA"/>
    <w:rsid w:val="00324D0F"/>
    <w:rsid w:val="003326D0"/>
    <w:rsid w:val="00333EF0"/>
    <w:rsid w:val="00335235"/>
    <w:rsid w:val="003403BB"/>
    <w:rsid w:val="00343DB7"/>
    <w:rsid w:val="003445D0"/>
    <w:rsid w:val="003445D2"/>
    <w:rsid w:val="00346080"/>
    <w:rsid w:val="00347E5F"/>
    <w:rsid w:val="003538E8"/>
    <w:rsid w:val="003627EB"/>
    <w:rsid w:val="003653BA"/>
    <w:rsid w:val="003708EB"/>
    <w:rsid w:val="00370A77"/>
    <w:rsid w:val="0037109A"/>
    <w:rsid w:val="003720A7"/>
    <w:rsid w:val="00372CA7"/>
    <w:rsid w:val="00377D47"/>
    <w:rsid w:val="00380DF5"/>
    <w:rsid w:val="00383E66"/>
    <w:rsid w:val="003913A9"/>
    <w:rsid w:val="00391CC7"/>
    <w:rsid w:val="0039237D"/>
    <w:rsid w:val="0039324A"/>
    <w:rsid w:val="0039551D"/>
    <w:rsid w:val="003A02A2"/>
    <w:rsid w:val="003A4BB9"/>
    <w:rsid w:val="003A563D"/>
    <w:rsid w:val="003A56AB"/>
    <w:rsid w:val="003A788F"/>
    <w:rsid w:val="003B0CDC"/>
    <w:rsid w:val="003B0ED2"/>
    <w:rsid w:val="003B6458"/>
    <w:rsid w:val="003B70E1"/>
    <w:rsid w:val="003D024A"/>
    <w:rsid w:val="003D042A"/>
    <w:rsid w:val="003D0BE7"/>
    <w:rsid w:val="003D1868"/>
    <w:rsid w:val="003E4D60"/>
    <w:rsid w:val="003E5746"/>
    <w:rsid w:val="003F1941"/>
    <w:rsid w:val="003F5E5A"/>
    <w:rsid w:val="003F71B3"/>
    <w:rsid w:val="003F7C3D"/>
    <w:rsid w:val="004004A6"/>
    <w:rsid w:val="00400973"/>
    <w:rsid w:val="004033E9"/>
    <w:rsid w:val="00403FB8"/>
    <w:rsid w:val="00406955"/>
    <w:rsid w:val="00411E25"/>
    <w:rsid w:val="00413427"/>
    <w:rsid w:val="00414535"/>
    <w:rsid w:val="00414C18"/>
    <w:rsid w:val="00414CFE"/>
    <w:rsid w:val="004166D2"/>
    <w:rsid w:val="00416857"/>
    <w:rsid w:val="00417525"/>
    <w:rsid w:val="00417E17"/>
    <w:rsid w:val="004205A3"/>
    <w:rsid w:val="0042458F"/>
    <w:rsid w:val="00424DB4"/>
    <w:rsid w:val="004272F5"/>
    <w:rsid w:val="00427828"/>
    <w:rsid w:val="00430B3C"/>
    <w:rsid w:val="00430D10"/>
    <w:rsid w:val="0043153A"/>
    <w:rsid w:val="00434A91"/>
    <w:rsid w:val="00444ABD"/>
    <w:rsid w:val="00445BF1"/>
    <w:rsid w:val="004475A2"/>
    <w:rsid w:val="00450352"/>
    <w:rsid w:val="00455DBF"/>
    <w:rsid w:val="00456E77"/>
    <w:rsid w:val="004600D1"/>
    <w:rsid w:val="004616D1"/>
    <w:rsid w:val="004653A6"/>
    <w:rsid w:val="00466B8A"/>
    <w:rsid w:val="00472368"/>
    <w:rsid w:val="0047746D"/>
    <w:rsid w:val="0048132E"/>
    <w:rsid w:val="004813E6"/>
    <w:rsid w:val="004837E3"/>
    <w:rsid w:val="00484184"/>
    <w:rsid w:val="004846EB"/>
    <w:rsid w:val="00485522"/>
    <w:rsid w:val="00486975"/>
    <w:rsid w:val="004911A1"/>
    <w:rsid w:val="00495C9A"/>
    <w:rsid w:val="004A0D70"/>
    <w:rsid w:val="004A1130"/>
    <w:rsid w:val="004A40F7"/>
    <w:rsid w:val="004B11C0"/>
    <w:rsid w:val="004B2208"/>
    <w:rsid w:val="004C1FBF"/>
    <w:rsid w:val="004D3CED"/>
    <w:rsid w:val="004D5B19"/>
    <w:rsid w:val="004E0831"/>
    <w:rsid w:val="004E28CE"/>
    <w:rsid w:val="004F33D2"/>
    <w:rsid w:val="004F4F11"/>
    <w:rsid w:val="004F6825"/>
    <w:rsid w:val="004F68B8"/>
    <w:rsid w:val="005057A0"/>
    <w:rsid w:val="005102C1"/>
    <w:rsid w:val="00511E3E"/>
    <w:rsid w:val="00511EFA"/>
    <w:rsid w:val="00511F1C"/>
    <w:rsid w:val="0051307C"/>
    <w:rsid w:val="00513C0E"/>
    <w:rsid w:val="005205A7"/>
    <w:rsid w:val="00522DB0"/>
    <w:rsid w:val="00523042"/>
    <w:rsid w:val="005352D0"/>
    <w:rsid w:val="00535493"/>
    <w:rsid w:val="00536163"/>
    <w:rsid w:val="005438DE"/>
    <w:rsid w:val="00543B32"/>
    <w:rsid w:val="00543C7B"/>
    <w:rsid w:val="00544BE1"/>
    <w:rsid w:val="00544FEB"/>
    <w:rsid w:val="005460B1"/>
    <w:rsid w:val="00547289"/>
    <w:rsid w:val="005476CA"/>
    <w:rsid w:val="005512DF"/>
    <w:rsid w:val="00556466"/>
    <w:rsid w:val="005570B7"/>
    <w:rsid w:val="0056551C"/>
    <w:rsid w:val="00572AB0"/>
    <w:rsid w:val="00575572"/>
    <w:rsid w:val="00576DA0"/>
    <w:rsid w:val="0058559D"/>
    <w:rsid w:val="00586CCA"/>
    <w:rsid w:val="005877F6"/>
    <w:rsid w:val="00590B59"/>
    <w:rsid w:val="00597827"/>
    <w:rsid w:val="005A69BD"/>
    <w:rsid w:val="005A721D"/>
    <w:rsid w:val="005A7ABA"/>
    <w:rsid w:val="005B2032"/>
    <w:rsid w:val="005B2E64"/>
    <w:rsid w:val="005B42B8"/>
    <w:rsid w:val="005B466D"/>
    <w:rsid w:val="005B646D"/>
    <w:rsid w:val="005B795F"/>
    <w:rsid w:val="005C3F7A"/>
    <w:rsid w:val="005C4AB8"/>
    <w:rsid w:val="005C5826"/>
    <w:rsid w:val="005D0BAC"/>
    <w:rsid w:val="005D5374"/>
    <w:rsid w:val="005D70CA"/>
    <w:rsid w:val="005D70F7"/>
    <w:rsid w:val="005E3207"/>
    <w:rsid w:val="005E56E2"/>
    <w:rsid w:val="005F06F6"/>
    <w:rsid w:val="005F15B3"/>
    <w:rsid w:val="005F1B81"/>
    <w:rsid w:val="005F1CF0"/>
    <w:rsid w:val="005F1E19"/>
    <w:rsid w:val="005F53D1"/>
    <w:rsid w:val="005F6176"/>
    <w:rsid w:val="005F7F71"/>
    <w:rsid w:val="0060036D"/>
    <w:rsid w:val="00607FFC"/>
    <w:rsid w:val="00614271"/>
    <w:rsid w:val="0061745D"/>
    <w:rsid w:val="0062159F"/>
    <w:rsid w:val="00627139"/>
    <w:rsid w:val="00630D63"/>
    <w:rsid w:val="00640D23"/>
    <w:rsid w:val="0064316F"/>
    <w:rsid w:val="00643D88"/>
    <w:rsid w:val="00644204"/>
    <w:rsid w:val="0064724F"/>
    <w:rsid w:val="006503C2"/>
    <w:rsid w:val="006534E3"/>
    <w:rsid w:val="00653B73"/>
    <w:rsid w:val="00653EB7"/>
    <w:rsid w:val="00654493"/>
    <w:rsid w:val="00655AD7"/>
    <w:rsid w:val="0065654F"/>
    <w:rsid w:val="00660380"/>
    <w:rsid w:val="00664B2D"/>
    <w:rsid w:val="006675C9"/>
    <w:rsid w:val="0067171A"/>
    <w:rsid w:val="006743D0"/>
    <w:rsid w:val="00675AB5"/>
    <w:rsid w:val="00681693"/>
    <w:rsid w:val="006825A0"/>
    <w:rsid w:val="00682B82"/>
    <w:rsid w:val="006879B2"/>
    <w:rsid w:val="006939F2"/>
    <w:rsid w:val="00693EB9"/>
    <w:rsid w:val="006951FD"/>
    <w:rsid w:val="006A3059"/>
    <w:rsid w:val="006A365A"/>
    <w:rsid w:val="006A3BD7"/>
    <w:rsid w:val="006B31DF"/>
    <w:rsid w:val="006B3C0F"/>
    <w:rsid w:val="006B43B1"/>
    <w:rsid w:val="006B5FEF"/>
    <w:rsid w:val="006C29F7"/>
    <w:rsid w:val="006C666A"/>
    <w:rsid w:val="006D7AFF"/>
    <w:rsid w:val="006E1D19"/>
    <w:rsid w:val="006E2CFE"/>
    <w:rsid w:val="006E7655"/>
    <w:rsid w:val="006E7E10"/>
    <w:rsid w:val="006F61FF"/>
    <w:rsid w:val="007031F8"/>
    <w:rsid w:val="00704316"/>
    <w:rsid w:val="00704E6D"/>
    <w:rsid w:val="00707FF8"/>
    <w:rsid w:val="0071133F"/>
    <w:rsid w:val="00712763"/>
    <w:rsid w:val="00713466"/>
    <w:rsid w:val="00722A13"/>
    <w:rsid w:val="007258F3"/>
    <w:rsid w:val="0072628A"/>
    <w:rsid w:val="00727173"/>
    <w:rsid w:val="007307E0"/>
    <w:rsid w:val="007317DB"/>
    <w:rsid w:val="007328F2"/>
    <w:rsid w:val="00733405"/>
    <w:rsid w:val="00736575"/>
    <w:rsid w:val="00740C97"/>
    <w:rsid w:val="0074129F"/>
    <w:rsid w:val="00743B5A"/>
    <w:rsid w:val="0074607B"/>
    <w:rsid w:val="00751455"/>
    <w:rsid w:val="007552ED"/>
    <w:rsid w:val="00762027"/>
    <w:rsid w:val="00763B33"/>
    <w:rsid w:val="00764C6C"/>
    <w:rsid w:val="00765D8A"/>
    <w:rsid w:val="007666BA"/>
    <w:rsid w:val="0076791A"/>
    <w:rsid w:val="00773CA9"/>
    <w:rsid w:val="00776360"/>
    <w:rsid w:val="00776485"/>
    <w:rsid w:val="00776C3E"/>
    <w:rsid w:val="007779FD"/>
    <w:rsid w:val="0078106D"/>
    <w:rsid w:val="0078133C"/>
    <w:rsid w:val="007844A9"/>
    <w:rsid w:val="007A69D5"/>
    <w:rsid w:val="007B1E4D"/>
    <w:rsid w:val="007B7AFD"/>
    <w:rsid w:val="007C3302"/>
    <w:rsid w:val="007C6C12"/>
    <w:rsid w:val="007D0E3D"/>
    <w:rsid w:val="007D0F37"/>
    <w:rsid w:val="007D1C6F"/>
    <w:rsid w:val="007D7A4E"/>
    <w:rsid w:val="007E0208"/>
    <w:rsid w:val="007E22AC"/>
    <w:rsid w:val="007E351E"/>
    <w:rsid w:val="007E6342"/>
    <w:rsid w:val="007F3C17"/>
    <w:rsid w:val="008002C4"/>
    <w:rsid w:val="0080165E"/>
    <w:rsid w:val="00803D8F"/>
    <w:rsid w:val="00804BA2"/>
    <w:rsid w:val="00805332"/>
    <w:rsid w:val="00807336"/>
    <w:rsid w:val="00810989"/>
    <w:rsid w:val="00810B38"/>
    <w:rsid w:val="00813278"/>
    <w:rsid w:val="00813E85"/>
    <w:rsid w:val="00815D9A"/>
    <w:rsid w:val="008200AF"/>
    <w:rsid w:val="00820B14"/>
    <w:rsid w:val="00821A19"/>
    <w:rsid w:val="00822698"/>
    <w:rsid w:val="008231A0"/>
    <w:rsid w:val="008251CE"/>
    <w:rsid w:val="008339AB"/>
    <w:rsid w:val="0083510D"/>
    <w:rsid w:val="00835356"/>
    <w:rsid w:val="00835752"/>
    <w:rsid w:val="0084024A"/>
    <w:rsid w:val="00840B1F"/>
    <w:rsid w:val="008410E5"/>
    <w:rsid w:val="00842680"/>
    <w:rsid w:val="00842D4A"/>
    <w:rsid w:val="00843265"/>
    <w:rsid w:val="008478C3"/>
    <w:rsid w:val="00852B2A"/>
    <w:rsid w:val="00856957"/>
    <w:rsid w:val="00860D7D"/>
    <w:rsid w:val="00862D86"/>
    <w:rsid w:val="008632D0"/>
    <w:rsid w:val="008634CB"/>
    <w:rsid w:val="008644F4"/>
    <w:rsid w:val="00866743"/>
    <w:rsid w:val="0087261A"/>
    <w:rsid w:val="00873F67"/>
    <w:rsid w:val="00880043"/>
    <w:rsid w:val="00880B9A"/>
    <w:rsid w:val="00887FC8"/>
    <w:rsid w:val="008908B2"/>
    <w:rsid w:val="0089187C"/>
    <w:rsid w:val="008927B7"/>
    <w:rsid w:val="00892F53"/>
    <w:rsid w:val="00896B0F"/>
    <w:rsid w:val="00896C5E"/>
    <w:rsid w:val="008A01D2"/>
    <w:rsid w:val="008A06A9"/>
    <w:rsid w:val="008A4992"/>
    <w:rsid w:val="008A65A7"/>
    <w:rsid w:val="008B03D0"/>
    <w:rsid w:val="008B041A"/>
    <w:rsid w:val="008B3096"/>
    <w:rsid w:val="008B31D0"/>
    <w:rsid w:val="008B7743"/>
    <w:rsid w:val="008C0522"/>
    <w:rsid w:val="008C0C7A"/>
    <w:rsid w:val="008C17F2"/>
    <w:rsid w:val="008C4807"/>
    <w:rsid w:val="008C61D2"/>
    <w:rsid w:val="008C7E05"/>
    <w:rsid w:val="008D32C4"/>
    <w:rsid w:val="008D3994"/>
    <w:rsid w:val="008D6FE0"/>
    <w:rsid w:val="008D71A4"/>
    <w:rsid w:val="008E0170"/>
    <w:rsid w:val="008E01A4"/>
    <w:rsid w:val="008E0B3D"/>
    <w:rsid w:val="008E0E00"/>
    <w:rsid w:val="008E1624"/>
    <w:rsid w:val="008E182E"/>
    <w:rsid w:val="008E3CCC"/>
    <w:rsid w:val="008E3D2C"/>
    <w:rsid w:val="008F052D"/>
    <w:rsid w:val="009004BC"/>
    <w:rsid w:val="00901F62"/>
    <w:rsid w:val="009020FC"/>
    <w:rsid w:val="009112B3"/>
    <w:rsid w:val="0091326F"/>
    <w:rsid w:val="00913C33"/>
    <w:rsid w:val="00915126"/>
    <w:rsid w:val="00915B49"/>
    <w:rsid w:val="00916577"/>
    <w:rsid w:val="00916A21"/>
    <w:rsid w:val="00920715"/>
    <w:rsid w:val="00921394"/>
    <w:rsid w:val="00921B0E"/>
    <w:rsid w:val="00921D41"/>
    <w:rsid w:val="00924DBD"/>
    <w:rsid w:val="009337F0"/>
    <w:rsid w:val="009376BD"/>
    <w:rsid w:val="009376EE"/>
    <w:rsid w:val="00940F96"/>
    <w:rsid w:val="0094259F"/>
    <w:rsid w:val="00942BA8"/>
    <w:rsid w:val="00942D44"/>
    <w:rsid w:val="00951095"/>
    <w:rsid w:val="00952C59"/>
    <w:rsid w:val="00952F5D"/>
    <w:rsid w:val="00953FF7"/>
    <w:rsid w:val="00957044"/>
    <w:rsid w:val="00965B9F"/>
    <w:rsid w:val="00965CB7"/>
    <w:rsid w:val="00971349"/>
    <w:rsid w:val="009747E5"/>
    <w:rsid w:val="009769C2"/>
    <w:rsid w:val="00977B9C"/>
    <w:rsid w:val="00981975"/>
    <w:rsid w:val="00981D84"/>
    <w:rsid w:val="00987220"/>
    <w:rsid w:val="0098762E"/>
    <w:rsid w:val="00990044"/>
    <w:rsid w:val="00991668"/>
    <w:rsid w:val="0099200F"/>
    <w:rsid w:val="0099341D"/>
    <w:rsid w:val="00993429"/>
    <w:rsid w:val="009944FE"/>
    <w:rsid w:val="00994A6C"/>
    <w:rsid w:val="009A318A"/>
    <w:rsid w:val="009A4BDA"/>
    <w:rsid w:val="009A4D6E"/>
    <w:rsid w:val="009B0654"/>
    <w:rsid w:val="009B10ED"/>
    <w:rsid w:val="009B1B64"/>
    <w:rsid w:val="009B23BE"/>
    <w:rsid w:val="009B2BFE"/>
    <w:rsid w:val="009B50C0"/>
    <w:rsid w:val="009B59E3"/>
    <w:rsid w:val="009C0DD3"/>
    <w:rsid w:val="009C2BB7"/>
    <w:rsid w:val="009C7976"/>
    <w:rsid w:val="009D1991"/>
    <w:rsid w:val="009D39FE"/>
    <w:rsid w:val="009D626F"/>
    <w:rsid w:val="009E19FA"/>
    <w:rsid w:val="009E7986"/>
    <w:rsid w:val="009E7E3E"/>
    <w:rsid w:val="009F05F8"/>
    <w:rsid w:val="009F1226"/>
    <w:rsid w:val="009F13B2"/>
    <w:rsid w:val="009F174A"/>
    <w:rsid w:val="009F2DAF"/>
    <w:rsid w:val="009F57D9"/>
    <w:rsid w:val="009F7AD6"/>
    <w:rsid w:val="00A00CC7"/>
    <w:rsid w:val="00A02DB1"/>
    <w:rsid w:val="00A078FA"/>
    <w:rsid w:val="00A141EF"/>
    <w:rsid w:val="00A158BA"/>
    <w:rsid w:val="00A15BD2"/>
    <w:rsid w:val="00A2101A"/>
    <w:rsid w:val="00A22A63"/>
    <w:rsid w:val="00A24F3A"/>
    <w:rsid w:val="00A254B9"/>
    <w:rsid w:val="00A25F52"/>
    <w:rsid w:val="00A316B6"/>
    <w:rsid w:val="00A32962"/>
    <w:rsid w:val="00A33BD9"/>
    <w:rsid w:val="00A36885"/>
    <w:rsid w:val="00A37920"/>
    <w:rsid w:val="00A467CF"/>
    <w:rsid w:val="00A500C6"/>
    <w:rsid w:val="00A55207"/>
    <w:rsid w:val="00A56623"/>
    <w:rsid w:val="00A60850"/>
    <w:rsid w:val="00A611DA"/>
    <w:rsid w:val="00A61445"/>
    <w:rsid w:val="00A6244F"/>
    <w:rsid w:val="00A6398D"/>
    <w:rsid w:val="00A65931"/>
    <w:rsid w:val="00A66877"/>
    <w:rsid w:val="00A7054E"/>
    <w:rsid w:val="00A77366"/>
    <w:rsid w:val="00A776FE"/>
    <w:rsid w:val="00A86F4A"/>
    <w:rsid w:val="00A9389F"/>
    <w:rsid w:val="00A939CC"/>
    <w:rsid w:val="00A94E81"/>
    <w:rsid w:val="00A952A6"/>
    <w:rsid w:val="00AA13FE"/>
    <w:rsid w:val="00AA4ECC"/>
    <w:rsid w:val="00AA779B"/>
    <w:rsid w:val="00AB1B06"/>
    <w:rsid w:val="00AB22B2"/>
    <w:rsid w:val="00AB2BC7"/>
    <w:rsid w:val="00AB3672"/>
    <w:rsid w:val="00AB7250"/>
    <w:rsid w:val="00AC7779"/>
    <w:rsid w:val="00AD0836"/>
    <w:rsid w:val="00AD2CCF"/>
    <w:rsid w:val="00AD41E6"/>
    <w:rsid w:val="00AD6D57"/>
    <w:rsid w:val="00AE25AD"/>
    <w:rsid w:val="00AE3272"/>
    <w:rsid w:val="00AE65E0"/>
    <w:rsid w:val="00AE7DBA"/>
    <w:rsid w:val="00AF10DE"/>
    <w:rsid w:val="00AF1702"/>
    <w:rsid w:val="00AF406E"/>
    <w:rsid w:val="00AF549B"/>
    <w:rsid w:val="00AF5B28"/>
    <w:rsid w:val="00AF7B68"/>
    <w:rsid w:val="00B0311B"/>
    <w:rsid w:val="00B03CE6"/>
    <w:rsid w:val="00B10525"/>
    <w:rsid w:val="00B108B1"/>
    <w:rsid w:val="00B11685"/>
    <w:rsid w:val="00B13E9B"/>
    <w:rsid w:val="00B1555A"/>
    <w:rsid w:val="00B1568B"/>
    <w:rsid w:val="00B16327"/>
    <w:rsid w:val="00B165B1"/>
    <w:rsid w:val="00B219A0"/>
    <w:rsid w:val="00B2311B"/>
    <w:rsid w:val="00B248F2"/>
    <w:rsid w:val="00B253FE"/>
    <w:rsid w:val="00B2606D"/>
    <w:rsid w:val="00B2614E"/>
    <w:rsid w:val="00B27E55"/>
    <w:rsid w:val="00B42C91"/>
    <w:rsid w:val="00B44B0A"/>
    <w:rsid w:val="00B52131"/>
    <w:rsid w:val="00B57045"/>
    <w:rsid w:val="00B60A72"/>
    <w:rsid w:val="00B6100B"/>
    <w:rsid w:val="00B64AE7"/>
    <w:rsid w:val="00B67EF6"/>
    <w:rsid w:val="00B70D15"/>
    <w:rsid w:val="00B716B4"/>
    <w:rsid w:val="00B7239C"/>
    <w:rsid w:val="00B73031"/>
    <w:rsid w:val="00B73B25"/>
    <w:rsid w:val="00B811EC"/>
    <w:rsid w:val="00B929C0"/>
    <w:rsid w:val="00B97306"/>
    <w:rsid w:val="00BA0242"/>
    <w:rsid w:val="00BA2DD3"/>
    <w:rsid w:val="00BA4895"/>
    <w:rsid w:val="00BB3318"/>
    <w:rsid w:val="00BB362E"/>
    <w:rsid w:val="00BB3DA5"/>
    <w:rsid w:val="00BB4481"/>
    <w:rsid w:val="00BB4FD3"/>
    <w:rsid w:val="00BB5E52"/>
    <w:rsid w:val="00BB688D"/>
    <w:rsid w:val="00BB79E6"/>
    <w:rsid w:val="00BC166D"/>
    <w:rsid w:val="00BC1DDA"/>
    <w:rsid w:val="00BC33CC"/>
    <w:rsid w:val="00BC3DD0"/>
    <w:rsid w:val="00BC6468"/>
    <w:rsid w:val="00BC67A9"/>
    <w:rsid w:val="00BC708C"/>
    <w:rsid w:val="00BC7D54"/>
    <w:rsid w:val="00BD1109"/>
    <w:rsid w:val="00BD368B"/>
    <w:rsid w:val="00BD394C"/>
    <w:rsid w:val="00BD4572"/>
    <w:rsid w:val="00BD4ABF"/>
    <w:rsid w:val="00BD59A9"/>
    <w:rsid w:val="00BE54B1"/>
    <w:rsid w:val="00BE5BE8"/>
    <w:rsid w:val="00BE5EA9"/>
    <w:rsid w:val="00BF1693"/>
    <w:rsid w:val="00BF38DE"/>
    <w:rsid w:val="00BF3BF3"/>
    <w:rsid w:val="00BF4E4B"/>
    <w:rsid w:val="00BF78D9"/>
    <w:rsid w:val="00BF791F"/>
    <w:rsid w:val="00C01FBD"/>
    <w:rsid w:val="00C033A1"/>
    <w:rsid w:val="00C035AC"/>
    <w:rsid w:val="00C03EEF"/>
    <w:rsid w:val="00C04359"/>
    <w:rsid w:val="00C0570F"/>
    <w:rsid w:val="00C0572E"/>
    <w:rsid w:val="00C07449"/>
    <w:rsid w:val="00C10719"/>
    <w:rsid w:val="00C12E0F"/>
    <w:rsid w:val="00C1459E"/>
    <w:rsid w:val="00C25930"/>
    <w:rsid w:val="00C26EB1"/>
    <w:rsid w:val="00C26F09"/>
    <w:rsid w:val="00C33EDE"/>
    <w:rsid w:val="00C406C1"/>
    <w:rsid w:val="00C41AF5"/>
    <w:rsid w:val="00C4501D"/>
    <w:rsid w:val="00C47260"/>
    <w:rsid w:val="00C54B98"/>
    <w:rsid w:val="00C553E8"/>
    <w:rsid w:val="00C55D2F"/>
    <w:rsid w:val="00C60E50"/>
    <w:rsid w:val="00C6130C"/>
    <w:rsid w:val="00C619F2"/>
    <w:rsid w:val="00C72309"/>
    <w:rsid w:val="00C75C75"/>
    <w:rsid w:val="00C80245"/>
    <w:rsid w:val="00C81E88"/>
    <w:rsid w:val="00C82C6A"/>
    <w:rsid w:val="00C858B7"/>
    <w:rsid w:val="00C86A7A"/>
    <w:rsid w:val="00C93A70"/>
    <w:rsid w:val="00C94AE5"/>
    <w:rsid w:val="00CA3AF2"/>
    <w:rsid w:val="00CB08E4"/>
    <w:rsid w:val="00CB29C5"/>
    <w:rsid w:val="00CB2CE1"/>
    <w:rsid w:val="00CB3476"/>
    <w:rsid w:val="00CC51CE"/>
    <w:rsid w:val="00CC7A6B"/>
    <w:rsid w:val="00CD39C1"/>
    <w:rsid w:val="00CD45A8"/>
    <w:rsid w:val="00CE1274"/>
    <w:rsid w:val="00CE5F5E"/>
    <w:rsid w:val="00CE6957"/>
    <w:rsid w:val="00CE6DC9"/>
    <w:rsid w:val="00CE6DE8"/>
    <w:rsid w:val="00CF2149"/>
    <w:rsid w:val="00CF271E"/>
    <w:rsid w:val="00CF2870"/>
    <w:rsid w:val="00CF60D4"/>
    <w:rsid w:val="00CF7ECD"/>
    <w:rsid w:val="00D0049F"/>
    <w:rsid w:val="00D0064A"/>
    <w:rsid w:val="00D00C4C"/>
    <w:rsid w:val="00D014D6"/>
    <w:rsid w:val="00D033E0"/>
    <w:rsid w:val="00D05ACB"/>
    <w:rsid w:val="00D10BF6"/>
    <w:rsid w:val="00D13C59"/>
    <w:rsid w:val="00D14D78"/>
    <w:rsid w:val="00D2235B"/>
    <w:rsid w:val="00D267B9"/>
    <w:rsid w:val="00D305C0"/>
    <w:rsid w:val="00D3066C"/>
    <w:rsid w:val="00D30D0F"/>
    <w:rsid w:val="00D32681"/>
    <w:rsid w:val="00D37A9B"/>
    <w:rsid w:val="00D4170C"/>
    <w:rsid w:val="00D41C3E"/>
    <w:rsid w:val="00D43674"/>
    <w:rsid w:val="00D43BB5"/>
    <w:rsid w:val="00D44244"/>
    <w:rsid w:val="00D45EF1"/>
    <w:rsid w:val="00D5014A"/>
    <w:rsid w:val="00D520BF"/>
    <w:rsid w:val="00D54A52"/>
    <w:rsid w:val="00D57DAF"/>
    <w:rsid w:val="00D60207"/>
    <w:rsid w:val="00D63475"/>
    <w:rsid w:val="00D63C02"/>
    <w:rsid w:val="00D63CBE"/>
    <w:rsid w:val="00D64F60"/>
    <w:rsid w:val="00D66043"/>
    <w:rsid w:val="00D66244"/>
    <w:rsid w:val="00D71651"/>
    <w:rsid w:val="00D761E6"/>
    <w:rsid w:val="00D84319"/>
    <w:rsid w:val="00D85BAB"/>
    <w:rsid w:val="00D9409F"/>
    <w:rsid w:val="00DA7AC5"/>
    <w:rsid w:val="00DB36A1"/>
    <w:rsid w:val="00DB6F07"/>
    <w:rsid w:val="00DC71B4"/>
    <w:rsid w:val="00DD07FA"/>
    <w:rsid w:val="00DD0A7A"/>
    <w:rsid w:val="00DD1CB9"/>
    <w:rsid w:val="00DD1E9A"/>
    <w:rsid w:val="00DE0360"/>
    <w:rsid w:val="00DE12C0"/>
    <w:rsid w:val="00DE2A2F"/>
    <w:rsid w:val="00DF22B0"/>
    <w:rsid w:val="00DF4BE4"/>
    <w:rsid w:val="00E00BA7"/>
    <w:rsid w:val="00E01031"/>
    <w:rsid w:val="00E01C4E"/>
    <w:rsid w:val="00E01EA5"/>
    <w:rsid w:val="00E0323E"/>
    <w:rsid w:val="00E04D84"/>
    <w:rsid w:val="00E063D8"/>
    <w:rsid w:val="00E11C07"/>
    <w:rsid w:val="00E12352"/>
    <w:rsid w:val="00E17C7D"/>
    <w:rsid w:val="00E23DEE"/>
    <w:rsid w:val="00E2459B"/>
    <w:rsid w:val="00E245B8"/>
    <w:rsid w:val="00E24C14"/>
    <w:rsid w:val="00E24F21"/>
    <w:rsid w:val="00E2785D"/>
    <w:rsid w:val="00E32686"/>
    <w:rsid w:val="00E339A2"/>
    <w:rsid w:val="00E34416"/>
    <w:rsid w:val="00E34487"/>
    <w:rsid w:val="00E40250"/>
    <w:rsid w:val="00E40A52"/>
    <w:rsid w:val="00E41C91"/>
    <w:rsid w:val="00E42E83"/>
    <w:rsid w:val="00E45CE6"/>
    <w:rsid w:val="00E4714F"/>
    <w:rsid w:val="00E50BC4"/>
    <w:rsid w:val="00E50EA6"/>
    <w:rsid w:val="00E50EDA"/>
    <w:rsid w:val="00E61ADE"/>
    <w:rsid w:val="00E61FF0"/>
    <w:rsid w:val="00E62F00"/>
    <w:rsid w:val="00E637DF"/>
    <w:rsid w:val="00E63A56"/>
    <w:rsid w:val="00E65A2E"/>
    <w:rsid w:val="00E65E8E"/>
    <w:rsid w:val="00E66184"/>
    <w:rsid w:val="00E67DED"/>
    <w:rsid w:val="00E704A5"/>
    <w:rsid w:val="00E72569"/>
    <w:rsid w:val="00E74816"/>
    <w:rsid w:val="00E77643"/>
    <w:rsid w:val="00E834A9"/>
    <w:rsid w:val="00E84DEF"/>
    <w:rsid w:val="00E875CA"/>
    <w:rsid w:val="00E90919"/>
    <w:rsid w:val="00E9105F"/>
    <w:rsid w:val="00E93683"/>
    <w:rsid w:val="00E96594"/>
    <w:rsid w:val="00E9717F"/>
    <w:rsid w:val="00EA15D9"/>
    <w:rsid w:val="00EA4133"/>
    <w:rsid w:val="00EA499B"/>
    <w:rsid w:val="00EA5996"/>
    <w:rsid w:val="00EA7952"/>
    <w:rsid w:val="00EB2F48"/>
    <w:rsid w:val="00EB3A76"/>
    <w:rsid w:val="00EB4FF7"/>
    <w:rsid w:val="00EB514B"/>
    <w:rsid w:val="00EB73E2"/>
    <w:rsid w:val="00EC3492"/>
    <w:rsid w:val="00EC7717"/>
    <w:rsid w:val="00ED2F82"/>
    <w:rsid w:val="00ED3B43"/>
    <w:rsid w:val="00ED410F"/>
    <w:rsid w:val="00ED7E43"/>
    <w:rsid w:val="00EE0652"/>
    <w:rsid w:val="00EE60E4"/>
    <w:rsid w:val="00EE6196"/>
    <w:rsid w:val="00EE76D6"/>
    <w:rsid w:val="00EF17C3"/>
    <w:rsid w:val="00EF659C"/>
    <w:rsid w:val="00F04450"/>
    <w:rsid w:val="00F04B3A"/>
    <w:rsid w:val="00F05B5E"/>
    <w:rsid w:val="00F0697E"/>
    <w:rsid w:val="00F22985"/>
    <w:rsid w:val="00F2376C"/>
    <w:rsid w:val="00F2399B"/>
    <w:rsid w:val="00F321E0"/>
    <w:rsid w:val="00F41F6E"/>
    <w:rsid w:val="00F45BE2"/>
    <w:rsid w:val="00F467E4"/>
    <w:rsid w:val="00F46E54"/>
    <w:rsid w:val="00F5297F"/>
    <w:rsid w:val="00F53625"/>
    <w:rsid w:val="00F558C5"/>
    <w:rsid w:val="00F60368"/>
    <w:rsid w:val="00F64ED6"/>
    <w:rsid w:val="00F702A3"/>
    <w:rsid w:val="00F703C4"/>
    <w:rsid w:val="00F70967"/>
    <w:rsid w:val="00F710D7"/>
    <w:rsid w:val="00F71E91"/>
    <w:rsid w:val="00F721A5"/>
    <w:rsid w:val="00F76203"/>
    <w:rsid w:val="00F801A4"/>
    <w:rsid w:val="00F80F6A"/>
    <w:rsid w:val="00F8586A"/>
    <w:rsid w:val="00F877C9"/>
    <w:rsid w:val="00FA059B"/>
    <w:rsid w:val="00FA0D36"/>
    <w:rsid w:val="00FA0F86"/>
    <w:rsid w:val="00FA1524"/>
    <w:rsid w:val="00FA26A2"/>
    <w:rsid w:val="00FA2F8D"/>
    <w:rsid w:val="00FA31D9"/>
    <w:rsid w:val="00FA4416"/>
    <w:rsid w:val="00FB0234"/>
    <w:rsid w:val="00FB04AA"/>
    <w:rsid w:val="00FB71FB"/>
    <w:rsid w:val="00FC09C7"/>
    <w:rsid w:val="00FC3CAA"/>
    <w:rsid w:val="00FC58BD"/>
    <w:rsid w:val="00FD0501"/>
    <w:rsid w:val="00FD25A2"/>
    <w:rsid w:val="00FE2079"/>
    <w:rsid w:val="00FE5B18"/>
    <w:rsid w:val="00FE5E69"/>
    <w:rsid w:val="00FF007C"/>
    <w:rsid w:val="00FF0CFB"/>
    <w:rsid w:val="00FF231B"/>
    <w:rsid w:val="00FF31DF"/>
    <w:rsid w:val="00FF437B"/>
    <w:rsid w:val="00FF5724"/>
    <w:rsid w:val="00FF6FCC"/>
    <w:rsid w:val="1BFF3547"/>
    <w:rsid w:val="2EDF09E0"/>
    <w:rsid w:val="2F7B3EA9"/>
    <w:rsid w:val="336B9D2A"/>
    <w:rsid w:val="379E8614"/>
    <w:rsid w:val="3FFFFF02"/>
    <w:rsid w:val="441F7608"/>
    <w:rsid w:val="51DE2323"/>
    <w:rsid w:val="56FA7979"/>
    <w:rsid w:val="5B2FA7FD"/>
    <w:rsid w:val="70B7C665"/>
    <w:rsid w:val="73EDB9D9"/>
    <w:rsid w:val="73EFBAA4"/>
    <w:rsid w:val="757DB5AD"/>
    <w:rsid w:val="7A3FD541"/>
    <w:rsid w:val="7B7E4AC9"/>
    <w:rsid w:val="7B7F1265"/>
    <w:rsid w:val="7BE5FC1E"/>
    <w:rsid w:val="7D775A9D"/>
    <w:rsid w:val="7EEFC722"/>
    <w:rsid w:val="7F4E5B77"/>
    <w:rsid w:val="7F9D7E3E"/>
    <w:rsid w:val="831D7BF1"/>
    <w:rsid w:val="ACFE8E05"/>
    <w:rsid w:val="B6FFA2F6"/>
    <w:rsid w:val="BFC13EA4"/>
    <w:rsid w:val="D52F4A78"/>
    <w:rsid w:val="D5F53250"/>
    <w:rsid w:val="E3F93D3E"/>
    <w:rsid w:val="E7E64B63"/>
    <w:rsid w:val="F386F062"/>
    <w:rsid w:val="F3FFF559"/>
    <w:rsid w:val="F5D36801"/>
    <w:rsid w:val="FA5EBC2A"/>
    <w:rsid w:val="FBDB9EE2"/>
    <w:rsid w:val="FCB3C248"/>
    <w:rsid w:val="FEC40454"/>
    <w:rsid w:val="FF7F3C25"/>
    <w:rsid w:val="FFAFAC32"/>
    <w:rsid w:val="FFBE1F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Emphasis"/>
    <w:basedOn w:val="8"/>
    <w:qFormat/>
    <w:uiPriority w:val="20"/>
    <w:rPr>
      <w:color w:val="CC0000"/>
    </w:rPr>
  </w:style>
  <w:style w:type="character" w:styleId="10">
    <w:name w:val="annotation reference"/>
    <w:basedOn w:val="8"/>
    <w:qFormat/>
    <w:uiPriority w:val="99"/>
    <w:rPr>
      <w:sz w:val="21"/>
      <w:szCs w:val="21"/>
    </w:rPr>
  </w:style>
  <w:style w:type="character" w:customStyle="1" w:styleId="11">
    <w:name w:val="页眉 字符"/>
    <w:basedOn w:val="8"/>
    <w:link w:val="5"/>
    <w:qFormat/>
    <w:uiPriority w:val="0"/>
    <w:rPr>
      <w:rFonts w:eastAsia="宋体"/>
      <w:kern w:val="2"/>
      <w:sz w:val="18"/>
      <w:szCs w:val="18"/>
      <w:lang w:val="en-US" w:eastAsia="zh-CN" w:bidi="ar-SA"/>
    </w:rPr>
  </w:style>
  <w:style w:type="character" w:customStyle="1" w:styleId="12">
    <w:name w:val="批注框文本 字符"/>
    <w:basedOn w:val="8"/>
    <w:link w:val="3"/>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character" w:customStyle="1" w:styleId="15">
    <w:name w:val="批注文字 字符"/>
    <w:basedOn w:val="8"/>
    <w:link w:val="2"/>
    <w:qFormat/>
    <w:uiPriority w:val="99"/>
    <w:rPr>
      <w:kern w:val="2"/>
      <w:sz w:val="21"/>
      <w:szCs w:val="24"/>
    </w:rPr>
  </w:style>
  <w:style w:type="character" w:customStyle="1" w:styleId="16">
    <w:name w:val="批注主题 字符"/>
    <w:basedOn w:val="15"/>
    <w:link w:val="6"/>
    <w:qFormat/>
    <w:uiPriority w:val="0"/>
    <w:rPr>
      <w:b/>
      <w:bCs/>
      <w:kern w:val="2"/>
      <w:sz w:val="21"/>
      <w:szCs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cee</Company>
  <Pages>4</Pages>
  <Words>2456</Words>
  <Characters>2541</Characters>
  <Lines>19</Lines>
  <Paragraphs>5</Paragraphs>
  <TotalTime>7</TotalTime>
  <ScaleCrop>false</ScaleCrop>
  <LinksUpToDate>false</LinksUpToDate>
  <CharactersWithSpaces>2751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2024-11-20T03:38:00Z</dcterms:created>
  <dc:creator>cee</dc:creator>
  <cp:lastModifiedBy>FC789</cp:lastModifiedBy>
  <cp:lastPrinted>2022-06-13T05:50:00Z</cp:lastPrinted>
  <dcterms:modified xsi:type="dcterms:W3CDTF">2024-11-19T08:31:21Z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C6DCD4B182604A5D9CD6FAE594DFC1BC_12</vt:lpwstr>
  </property>
</Properties>
</file>