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DEFEF5" w14:textId="77777777" w:rsidR="002025CA" w:rsidRDefault="00000000">
      <w:pPr>
        <w:spacing w:afterLines="100" w:after="240" w:line="360" w:lineRule="auto"/>
        <w:rPr>
          <w:rFonts w:asciiTheme="majorEastAsia" w:eastAsiaTheme="majorEastAsia" w:hAnsiTheme="majorEastAsia" w:cs="Times New Roman" w:hint="eastAsia"/>
          <w:sz w:val="24"/>
          <w:szCs w:val="24"/>
          <w:lang w:val="en-US" w:bidi="ar-SA"/>
        </w:rPr>
      </w:pPr>
      <w:r>
        <w:rPr>
          <w:rFonts w:asciiTheme="majorEastAsia" w:eastAsiaTheme="majorEastAsia" w:hAnsiTheme="majorEastAsia" w:hint="eastAsia"/>
          <w:sz w:val="24"/>
          <w:szCs w:val="24"/>
          <w:lang w:val="en-US"/>
        </w:rPr>
        <w:t>证券代码：603931                                            证券简称：格林达</w:t>
      </w:r>
    </w:p>
    <w:p w14:paraId="3AE7C9F5" w14:textId="77777777" w:rsidR="002025CA" w:rsidRDefault="00000000">
      <w:pPr>
        <w:pStyle w:val="a3"/>
        <w:spacing w:afterLines="100" w:after="240"/>
        <w:ind w:right="822"/>
        <w:jc w:val="center"/>
        <w:rPr>
          <w:rFonts w:hint="eastAsia"/>
          <w:sz w:val="32"/>
          <w:szCs w:val="32"/>
        </w:rPr>
      </w:pPr>
      <w:r>
        <w:rPr>
          <w:rFonts w:hint="eastAsia"/>
          <w:sz w:val="32"/>
          <w:szCs w:val="32"/>
          <w:lang w:val="en-US"/>
        </w:rPr>
        <w:t>杭州格林达电子材料</w:t>
      </w:r>
      <w:r>
        <w:rPr>
          <w:sz w:val="32"/>
          <w:szCs w:val="32"/>
        </w:rPr>
        <w:t>股份有限公司投资者关系记录表</w:t>
      </w:r>
    </w:p>
    <w:p w14:paraId="693B8462" w14:textId="77777777" w:rsidR="002025CA" w:rsidRDefault="00000000">
      <w:pPr>
        <w:spacing w:before="154" w:after="32"/>
        <w:ind w:right="679"/>
        <w:jc w:val="right"/>
        <w:rPr>
          <w:rFonts w:hint="eastAsia"/>
          <w:sz w:val="24"/>
          <w:szCs w:val="21"/>
        </w:rPr>
      </w:pPr>
      <w:r>
        <w:rPr>
          <w:rFonts w:hint="eastAsia"/>
          <w:sz w:val="24"/>
          <w:szCs w:val="21"/>
        </w:rPr>
        <w:t>编号：2024-002</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127"/>
        <w:gridCol w:w="7229"/>
      </w:tblGrid>
      <w:tr w:rsidR="002025CA" w14:paraId="3869A460" w14:textId="77777777">
        <w:trPr>
          <w:trHeight w:val="2177"/>
        </w:trPr>
        <w:tc>
          <w:tcPr>
            <w:tcW w:w="2127" w:type="dxa"/>
          </w:tcPr>
          <w:p w14:paraId="2B528F46" w14:textId="77777777" w:rsidR="002025CA" w:rsidRDefault="002025CA">
            <w:pPr>
              <w:pStyle w:val="TableParagraph"/>
              <w:ind w:left="0"/>
              <w:rPr>
                <w:rFonts w:asciiTheme="minorEastAsia" w:eastAsiaTheme="minorEastAsia" w:hAnsiTheme="minorEastAsia" w:hint="eastAsia"/>
                <w:sz w:val="24"/>
                <w:szCs w:val="24"/>
              </w:rPr>
            </w:pPr>
          </w:p>
          <w:p w14:paraId="194F4AF2" w14:textId="77777777" w:rsidR="002025CA" w:rsidRDefault="002025CA">
            <w:pPr>
              <w:pStyle w:val="TableParagraph"/>
              <w:spacing w:before="12"/>
              <w:ind w:left="0"/>
              <w:rPr>
                <w:rFonts w:asciiTheme="minorEastAsia" w:eastAsiaTheme="minorEastAsia" w:hAnsiTheme="minorEastAsia" w:hint="eastAsia"/>
                <w:sz w:val="24"/>
                <w:szCs w:val="24"/>
              </w:rPr>
            </w:pPr>
          </w:p>
          <w:p w14:paraId="11FAE994" w14:textId="77777777" w:rsidR="002025CA" w:rsidRDefault="00000000">
            <w:pPr>
              <w:pStyle w:val="TableParagraph"/>
              <w:ind w:left="0"/>
              <w:rPr>
                <w:rFonts w:asciiTheme="minorEastAsia" w:eastAsiaTheme="minorEastAsia" w:hAnsiTheme="minorEastAsia" w:hint="eastAsia"/>
                <w:sz w:val="24"/>
                <w:szCs w:val="24"/>
              </w:rPr>
            </w:pPr>
            <w:r>
              <w:rPr>
                <w:rFonts w:asciiTheme="minorEastAsia" w:eastAsiaTheme="minorEastAsia" w:hAnsiTheme="minorEastAsia"/>
                <w:sz w:val="24"/>
                <w:szCs w:val="24"/>
              </w:rPr>
              <w:t>投资者关系活动类别</w:t>
            </w:r>
          </w:p>
        </w:tc>
        <w:tc>
          <w:tcPr>
            <w:tcW w:w="7229" w:type="dxa"/>
          </w:tcPr>
          <w:p w14:paraId="61DF8710" w14:textId="77777777" w:rsidR="002025CA" w:rsidRDefault="00000000">
            <w:pPr>
              <w:pStyle w:val="TableParagraph"/>
              <w:tabs>
                <w:tab w:val="left" w:pos="2747"/>
              </w:tabs>
              <w:spacing w:before="64"/>
              <w:rPr>
                <w:rFonts w:asciiTheme="minorEastAsia" w:eastAsiaTheme="minorEastAsia" w:hAnsiTheme="minorEastAsia" w:hint="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特定对象调研</w:t>
            </w:r>
            <w:r>
              <w:rPr>
                <w:rFonts w:asciiTheme="minorEastAsia" w:eastAsiaTheme="minorEastAsia" w:hAnsiTheme="minorEastAsia"/>
                <w:sz w:val="24"/>
                <w:szCs w:val="24"/>
              </w:rPr>
              <w:tab/>
              <w:t>□分析师会议</w:t>
            </w:r>
          </w:p>
          <w:p w14:paraId="574D68C6" w14:textId="77777777" w:rsidR="002025CA" w:rsidRDefault="00000000">
            <w:pPr>
              <w:pStyle w:val="TableParagraph"/>
              <w:tabs>
                <w:tab w:val="left" w:pos="2747"/>
              </w:tabs>
              <w:spacing w:before="130"/>
              <w:rPr>
                <w:rFonts w:asciiTheme="minorEastAsia" w:eastAsiaTheme="minorEastAsia" w:hAnsiTheme="minorEastAsia" w:hint="eastAsia"/>
                <w:sz w:val="24"/>
                <w:szCs w:val="24"/>
              </w:rPr>
            </w:pPr>
            <w:r>
              <w:rPr>
                <w:rFonts w:asciiTheme="minorEastAsia" w:eastAsiaTheme="minorEastAsia" w:hAnsiTheme="minorEastAsia"/>
                <w:sz w:val="24"/>
                <w:szCs w:val="24"/>
              </w:rPr>
              <w:t>□媒体采访</w:t>
            </w:r>
            <w:r>
              <w:rPr>
                <w:rFonts w:asciiTheme="minorEastAsia" w:eastAsiaTheme="minorEastAsia" w:hAnsiTheme="minorEastAsia"/>
                <w:sz w:val="24"/>
                <w:szCs w:val="24"/>
              </w:rPr>
              <w:tab/>
            </w:r>
            <w:r>
              <w:rPr>
                <w:rFonts w:asciiTheme="minorEastAsia" w:eastAsiaTheme="minorEastAsia" w:hAnsiTheme="minorEastAsia" w:hint="eastAsia"/>
                <w:sz w:val="24"/>
                <w:szCs w:val="24"/>
              </w:rPr>
              <w:t>√</w:t>
            </w:r>
            <w:r>
              <w:rPr>
                <w:rFonts w:asciiTheme="minorEastAsia" w:eastAsiaTheme="minorEastAsia" w:hAnsiTheme="minorEastAsia"/>
                <w:sz w:val="24"/>
                <w:szCs w:val="24"/>
              </w:rPr>
              <w:t>业绩说明会</w:t>
            </w:r>
          </w:p>
          <w:p w14:paraId="4FB9465A" w14:textId="77777777" w:rsidR="002025CA" w:rsidRDefault="00000000">
            <w:pPr>
              <w:pStyle w:val="TableParagraph"/>
              <w:tabs>
                <w:tab w:val="left" w:pos="2747"/>
              </w:tabs>
              <w:spacing w:before="126"/>
              <w:rPr>
                <w:rFonts w:asciiTheme="minorEastAsia" w:eastAsiaTheme="minorEastAsia" w:hAnsiTheme="minorEastAsia" w:hint="eastAsia"/>
                <w:sz w:val="24"/>
                <w:szCs w:val="24"/>
              </w:rPr>
            </w:pPr>
            <w:r>
              <w:rPr>
                <w:rFonts w:asciiTheme="minorEastAsia" w:eastAsiaTheme="minorEastAsia" w:hAnsiTheme="minorEastAsia"/>
                <w:sz w:val="24"/>
                <w:szCs w:val="24"/>
              </w:rPr>
              <w:t>□新闻发布会</w:t>
            </w:r>
            <w:r>
              <w:rPr>
                <w:rFonts w:asciiTheme="minorEastAsia" w:eastAsiaTheme="minorEastAsia" w:hAnsiTheme="minorEastAsia"/>
                <w:sz w:val="24"/>
                <w:szCs w:val="24"/>
              </w:rPr>
              <w:tab/>
              <w:t>□路演活动</w:t>
            </w:r>
          </w:p>
          <w:p w14:paraId="11CCBD0B" w14:textId="77777777" w:rsidR="002025CA" w:rsidRDefault="00000000">
            <w:pPr>
              <w:pStyle w:val="TableParagraph"/>
              <w:spacing w:before="128"/>
              <w:rPr>
                <w:rFonts w:asciiTheme="minorEastAsia" w:eastAsiaTheme="minorEastAsia" w:hAnsiTheme="minorEastAsia" w:hint="eastAsia"/>
                <w:sz w:val="24"/>
                <w:szCs w:val="24"/>
              </w:rPr>
            </w:pPr>
            <w:r>
              <w:rPr>
                <w:rFonts w:asciiTheme="minorEastAsia" w:eastAsiaTheme="minorEastAsia" w:hAnsiTheme="minorEastAsia"/>
                <w:sz w:val="24"/>
                <w:szCs w:val="24"/>
              </w:rPr>
              <w:t>□现场参观</w:t>
            </w:r>
          </w:p>
          <w:p w14:paraId="767D1A5F" w14:textId="77777777" w:rsidR="002025CA" w:rsidRDefault="00000000">
            <w:pPr>
              <w:pStyle w:val="TableParagraph"/>
              <w:spacing w:before="127"/>
              <w:rPr>
                <w:rFonts w:asciiTheme="minorEastAsia" w:eastAsiaTheme="minorEastAsia" w:hAnsiTheme="minorEastAsia" w:hint="eastAsia"/>
                <w:sz w:val="24"/>
                <w:szCs w:val="24"/>
              </w:rPr>
            </w:pPr>
            <w:r>
              <w:rPr>
                <w:rFonts w:asciiTheme="minorEastAsia" w:eastAsiaTheme="minorEastAsia" w:hAnsiTheme="minorEastAsia"/>
                <w:sz w:val="24"/>
                <w:szCs w:val="24"/>
              </w:rPr>
              <w:t>□其他（</w:t>
            </w:r>
            <w:proofErr w:type="gramStart"/>
            <w:r>
              <w:rPr>
                <w:rFonts w:asciiTheme="minorEastAsia" w:eastAsiaTheme="minorEastAsia" w:hAnsiTheme="minorEastAsia"/>
                <w:sz w:val="24"/>
                <w:szCs w:val="24"/>
              </w:rPr>
              <w:t>请文字</w:t>
            </w:r>
            <w:proofErr w:type="gramEnd"/>
            <w:r>
              <w:rPr>
                <w:rFonts w:asciiTheme="minorEastAsia" w:eastAsiaTheme="minorEastAsia" w:hAnsiTheme="minorEastAsia"/>
                <w:sz w:val="24"/>
                <w:szCs w:val="24"/>
              </w:rPr>
              <w:t>说明其他活动内容）</w:t>
            </w:r>
          </w:p>
        </w:tc>
      </w:tr>
      <w:tr w:rsidR="002025CA" w14:paraId="3CB4CB15" w14:textId="77777777">
        <w:trPr>
          <w:trHeight w:val="414"/>
        </w:trPr>
        <w:tc>
          <w:tcPr>
            <w:tcW w:w="2127" w:type="dxa"/>
          </w:tcPr>
          <w:p w14:paraId="47D3C613" w14:textId="77777777" w:rsidR="002025CA" w:rsidRDefault="00000000">
            <w:pPr>
              <w:pStyle w:val="TableParagraph"/>
              <w:spacing w:before="64"/>
              <w:ind w:left="0"/>
              <w:rPr>
                <w:rFonts w:asciiTheme="minorEastAsia" w:eastAsiaTheme="minorEastAsia" w:hAnsiTheme="minorEastAsia" w:hint="eastAsia"/>
                <w:sz w:val="24"/>
                <w:szCs w:val="24"/>
              </w:rPr>
            </w:pPr>
            <w:r>
              <w:rPr>
                <w:rFonts w:asciiTheme="minorEastAsia" w:eastAsiaTheme="minorEastAsia" w:hAnsiTheme="minorEastAsia"/>
                <w:sz w:val="24"/>
                <w:szCs w:val="24"/>
              </w:rPr>
              <w:t>参与</w:t>
            </w:r>
            <w:r>
              <w:rPr>
                <w:rFonts w:asciiTheme="minorEastAsia" w:eastAsiaTheme="minorEastAsia" w:hAnsiTheme="minorEastAsia" w:hint="eastAsia"/>
                <w:sz w:val="24"/>
                <w:szCs w:val="24"/>
              </w:rPr>
              <w:t>单位名称</w:t>
            </w:r>
          </w:p>
        </w:tc>
        <w:tc>
          <w:tcPr>
            <w:tcW w:w="7229" w:type="dxa"/>
          </w:tcPr>
          <w:p w14:paraId="2262A085" w14:textId="562F43C5" w:rsidR="002025CA" w:rsidRDefault="00B507D0">
            <w:pPr>
              <w:pStyle w:val="TableParagraph"/>
              <w:ind w:left="0"/>
              <w:rPr>
                <w:rFonts w:asciiTheme="minorEastAsia" w:eastAsiaTheme="minorEastAsia" w:hAnsiTheme="minorEastAsia" w:hint="eastAsia"/>
                <w:sz w:val="24"/>
                <w:szCs w:val="24"/>
              </w:rPr>
            </w:pPr>
            <w:r w:rsidRPr="00B507D0">
              <w:rPr>
                <w:rFonts w:asciiTheme="minorEastAsia" w:eastAsiaTheme="minorEastAsia" w:hAnsiTheme="minorEastAsia" w:hint="eastAsia"/>
                <w:sz w:val="24"/>
                <w:szCs w:val="24"/>
              </w:rPr>
              <w:t>线上参与公司2024年</w:t>
            </w:r>
            <w:r>
              <w:rPr>
                <w:rFonts w:asciiTheme="minorEastAsia" w:eastAsiaTheme="minorEastAsia" w:hAnsiTheme="minorEastAsia" w:hint="eastAsia"/>
                <w:sz w:val="24"/>
                <w:szCs w:val="24"/>
              </w:rPr>
              <w:t>第三季</w:t>
            </w:r>
            <w:r w:rsidRPr="00B507D0">
              <w:rPr>
                <w:rFonts w:asciiTheme="minorEastAsia" w:eastAsiaTheme="minorEastAsia" w:hAnsiTheme="minorEastAsia" w:hint="eastAsia"/>
                <w:sz w:val="24"/>
                <w:szCs w:val="24"/>
              </w:rPr>
              <w:t>度业绩说明会的投资者</w:t>
            </w:r>
          </w:p>
        </w:tc>
      </w:tr>
      <w:tr w:rsidR="002025CA" w14:paraId="146375C9" w14:textId="77777777">
        <w:trPr>
          <w:trHeight w:val="436"/>
        </w:trPr>
        <w:tc>
          <w:tcPr>
            <w:tcW w:w="2127" w:type="dxa"/>
          </w:tcPr>
          <w:p w14:paraId="7EDFCA61" w14:textId="77777777" w:rsidR="002025CA" w:rsidRDefault="00000000">
            <w:pPr>
              <w:pStyle w:val="TableParagraph"/>
              <w:spacing w:before="64"/>
              <w:ind w:left="0"/>
              <w:rPr>
                <w:rFonts w:asciiTheme="minorEastAsia" w:eastAsiaTheme="minorEastAsia" w:hAnsiTheme="minorEastAsia" w:hint="eastAsia"/>
                <w:sz w:val="24"/>
                <w:szCs w:val="24"/>
              </w:rPr>
            </w:pPr>
            <w:r>
              <w:rPr>
                <w:rFonts w:asciiTheme="minorEastAsia" w:eastAsiaTheme="minorEastAsia" w:hAnsiTheme="minorEastAsia"/>
                <w:sz w:val="24"/>
                <w:szCs w:val="24"/>
              </w:rPr>
              <w:t>时间</w:t>
            </w:r>
          </w:p>
        </w:tc>
        <w:tc>
          <w:tcPr>
            <w:tcW w:w="7229" w:type="dxa"/>
          </w:tcPr>
          <w:p w14:paraId="6A63DEB3" w14:textId="77777777" w:rsidR="002025CA" w:rsidRDefault="00000000">
            <w:pPr>
              <w:pStyle w:val="TableParagraph"/>
              <w:ind w:left="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2024年11月20日</w:t>
            </w:r>
          </w:p>
        </w:tc>
      </w:tr>
      <w:tr w:rsidR="002025CA" w14:paraId="0ABF486E" w14:textId="77777777">
        <w:trPr>
          <w:trHeight w:val="434"/>
        </w:trPr>
        <w:tc>
          <w:tcPr>
            <w:tcW w:w="2127" w:type="dxa"/>
          </w:tcPr>
          <w:p w14:paraId="46AA640E" w14:textId="77777777" w:rsidR="002025CA" w:rsidRDefault="00000000">
            <w:pPr>
              <w:pStyle w:val="TableParagraph"/>
              <w:spacing w:before="64"/>
              <w:ind w:left="0"/>
              <w:rPr>
                <w:rFonts w:asciiTheme="minorEastAsia" w:eastAsiaTheme="minorEastAsia" w:hAnsiTheme="minorEastAsia" w:hint="eastAsia"/>
                <w:sz w:val="24"/>
                <w:szCs w:val="24"/>
              </w:rPr>
            </w:pPr>
            <w:r>
              <w:rPr>
                <w:rFonts w:asciiTheme="minorEastAsia" w:eastAsiaTheme="minorEastAsia" w:hAnsiTheme="minorEastAsia"/>
                <w:sz w:val="24"/>
                <w:szCs w:val="24"/>
              </w:rPr>
              <w:t>地点</w:t>
            </w:r>
          </w:p>
        </w:tc>
        <w:tc>
          <w:tcPr>
            <w:tcW w:w="7229" w:type="dxa"/>
          </w:tcPr>
          <w:p w14:paraId="11CD443B" w14:textId="77777777" w:rsidR="002025CA" w:rsidRDefault="00000000">
            <w:pPr>
              <w:pStyle w:val="TableParagraph"/>
              <w:ind w:left="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上海证券交易所上</w:t>
            </w:r>
            <w:proofErr w:type="gramStart"/>
            <w:r>
              <w:rPr>
                <w:rFonts w:asciiTheme="minorEastAsia" w:eastAsiaTheme="minorEastAsia" w:hAnsiTheme="minorEastAsia" w:hint="eastAsia"/>
                <w:sz w:val="24"/>
                <w:szCs w:val="24"/>
              </w:rPr>
              <w:t>证路演中心</w:t>
            </w:r>
            <w:proofErr w:type="gramEnd"/>
          </w:p>
        </w:tc>
      </w:tr>
      <w:tr w:rsidR="002025CA" w14:paraId="5DF647E7" w14:textId="77777777">
        <w:trPr>
          <w:trHeight w:val="434"/>
        </w:trPr>
        <w:tc>
          <w:tcPr>
            <w:tcW w:w="2127" w:type="dxa"/>
          </w:tcPr>
          <w:p w14:paraId="674A51E4" w14:textId="77777777" w:rsidR="002025CA" w:rsidRDefault="00000000">
            <w:pPr>
              <w:pStyle w:val="TableParagraph"/>
              <w:spacing w:before="64"/>
              <w:ind w:left="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上市公司接待人员</w:t>
            </w:r>
          </w:p>
        </w:tc>
        <w:tc>
          <w:tcPr>
            <w:tcW w:w="7229" w:type="dxa"/>
          </w:tcPr>
          <w:p w14:paraId="29347EEE" w14:textId="77777777" w:rsidR="002025CA" w:rsidRDefault="00000000">
            <w:pPr>
              <w:pStyle w:val="TableParagraph"/>
              <w:ind w:left="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董事长蒋慧儿，总经理方伟华，董事会秘书章琪，财务总监何婷茹，独立董事吴晖</w:t>
            </w:r>
          </w:p>
        </w:tc>
      </w:tr>
      <w:tr w:rsidR="002025CA" w14:paraId="72923232" w14:textId="77777777">
        <w:trPr>
          <w:trHeight w:val="2337"/>
        </w:trPr>
        <w:tc>
          <w:tcPr>
            <w:tcW w:w="2127" w:type="dxa"/>
          </w:tcPr>
          <w:p w14:paraId="4C3141C8" w14:textId="77777777" w:rsidR="002025CA" w:rsidRDefault="00000000">
            <w:pPr>
              <w:pStyle w:val="TableParagraph"/>
              <w:spacing w:before="67"/>
              <w:ind w:left="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投资者关系活动主要内容介绍</w:t>
            </w:r>
          </w:p>
        </w:tc>
        <w:tc>
          <w:tcPr>
            <w:tcW w:w="7229" w:type="dxa"/>
          </w:tcPr>
          <w:p w14:paraId="18B57FD5" w14:textId="77777777" w:rsidR="002025CA" w:rsidRDefault="00000000">
            <w:pPr>
              <w:spacing w:line="360" w:lineRule="auto"/>
              <w:rPr>
                <w:rFonts w:asciiTheme="minorEastAsia" w:eastAsiaTheme="minorEastAsia" w:hAnsiTheme="minorEastAsia" w:hint="eastAsia"/>
                <w:sz w:val="24"/>
                <w:szCs w:val="24"/>
              </w:rPr>
            </w:pPr>
            <w:r>
              <w:rPr>
                <w:rFonts w:asciiTheme="minorEastAsia" w:eastAsiaTheme="minorEastAsia" w:hAnsiTheme="minorEastAsia" w:hint="eastAsia"/>
                <w:sz w:val="24"/>
                <w:szCs w:val="24"/>
              </w:rPr>
              <w:t>1、公司生产的</w:t>
            </w:r>
            <w:proofErr w:type="gramStart"/>
            <w:r>
              <w:rPr>
                <w:rFonts w:asciiTheme="minorEastAsia" w:eastAsiaTheme="minorEastAsia" w:hAnsiTheme="minorEastAsia" w:hint="eastAsia"/>
                <w:sz w:val="24"/>
                <w:szCs w:val="24"/>
              </w:rPr>
              <w:t>玻璃薄化氢氟酸</w:t>
            </w:r>
            <w:proofErr w:type="gramEnd"/>
            <w:r>
              <w:rPr>
                <w:rFonts w:asciiTheme="minorEastAsia" w:eastAsiaTheme="minorEastAsia" w:hAnsiTheme="minorEastAsia" w:hint="eastAsia"/>
                <w:sz w:val="24"/>
                <w:szCs w:val="24"/>
              </w:rPr>
              <w:t>、缓冲氧化蚀刻液可否用于半导体先进封装的玻璃基板TGV成孔刻蚀加工环节？</w:t>
            </w:r>
          </w:p>
          <w:p w14:paraId="05F5D09F" w14:textId="77777777" w:rsidR="002025CA" w:rsidRDefault="00000000">
            <w:pPr>
              <w:spacing w:line="360" w:lineRule="auto"/>
              <w:rPr>
                <w:rFonts w:asciiTheme="minorEastAsia" w:eastAsiaTheme="minorEastAsia" w:hAnsiTheme="minorEastAsia" w:hint="eastAsia"/>
                <w:sz w:val="24"/>
                <w:szCs w:val="24"/>
              </w:rPr>
            </w:pPr>
            <w:r>
              <w:rPr>
                <w:rFonts w:asciiTheme="minorEastAsia" w:eastAsiaTheme="minorEastAsia" w:hAnsiTheme="minorEastAsia" w:hint="eastAsia"/>
                <w:sz w:val="24"/>
                <w:szCs w:val="24"/>
              </w:rPr>
              <w:t>答：公司产品主要有显影液、蚀刻液、稀释液、清洗液等，主要用于显影、蚀刻、清洗等电子产品制造工艺中。公司密切关注下游应用领域的发展和技术更新迭代，紧跟行业发展，不断提升、改进生产工艺，从而满足客户不断更新换代的生产工艺需求。</w:t>
            </w:r>
          </w:p>
          <w:p w14:paraId="425106C1" w14:textId="77777777" w:rsidR="002025CA" w:rsidRDefault="002025CA">
            <w:pPr>
              <w:spacing w:line="360" w:lineRule="auto"/>
              <w:rPr>
                <w:rFonts w:asciiTheme="minorEastAsia" w:eastAsiaTheme="minorEastAsia" w:hAnsiTheme="minorEastAsia" w:hint="eastAsia"/>
                <w:sz w:val="24"/>
                <w:szCs w:val="24"/>
              </w:rPr>
            </w:pPr>
          </w:p>
          <w:p w14:paraId="397CED49" w14:textId="77777777" w:rsidR="002025CA" w:rsidRDefault="00000000">
            <w:pPr>
              <w:spacing w:line="360" w:lineRule="auto"/>
              <w:rPr>
                <w:rFonts w:asciiTheme="minorEastAsia" w:eastAsiaTheme="minorEastAsia" w:hAnsiTheme="minorEastAsia" w:hint="eastAsia"/>
                <w:sz w:val="24"/>
                <w:szCs w:val="24"/>
              </w:rPr>
            </w:pPr>
            <w:r>
              <w:rPr>
                <w:rFonts w:asciiTheme="minorEastAsia" w:eastAsiaTheme="minorEastAsia" w:hAnsiTheme="minorEastAsia" w:hint="eastAsia"/>
                <w:sz w:val="24"/>
                <w:szCs w:val="24"/>
              </w:rPr>
              <w:t>2、公司四川项目目前进展如何？</w:t>
            </w:r>
          </w:p>
          <w:p w14:paraId="08A7D4D3" w14:textId="77777777" w:rsidR="002025CA" w:rsidRDefault="00000000">
            <w:pPr>
              <w:spacing w:line="360" w:lineRule="auto"/>
              <w:rPr>
                <w:rFonts w:asciiTheme="minorEastAsia" w:eastAsiaTheme="minorEastAsia" w:hAnsiTheme="minorEastAsia" w:hint="eastAsia"/>
                <w:sz w:val="24"/>
                <w:szCs w:val="24"/>
              </w:rPr>
            </w:pPr>
            <w:r>
              <w:rPr>
                <w:rFonts w:asciiTheme="minorEastAsia" w:eastAsiaTheme="minorEastAsia" w:hAnsiTheme="minorEastAsia" w:hint="eastAsia"/>
                <w:sz w:val="24"/>
                <w:szCs w:val="24"/>
              </w:rPr>
              <w:t>答：公司四川项目已于今年三季度获得安全生产许可证并通过了体系认证，目前正在进行下游客户端的产品导入测试，</w:t>
            </w:r>
            <w:proofErr w:type="gramStart"/>
            <w:r>
              <w:rPr>
                <w:rFonts w:asciiTheme="minorEastAsia" w:eastAsiaTheme="minorEastAsia" w:hAnsiTheme="minorEastAsia" w:hint="eastAsia"/>
                <w:sz w:val="24"/>
                <w:szCs w:val="24"/>
              </w:rPr>
              <w:t>为量供做</w:t>
            </w:r>
            <w:proofErr w:type="gramEnd"/>
            <w:r>
              <w:rPr>
                <w:rFonts w:asciiTheme="minorEastAsia" w:eastAsiaTheme="minorEastAsia" w:hAnsiTheme="minorEastAsia" w:hint="eastAsia"/>
                <w:sz w:val="24"/>
                <w:szCs w:val="24"/>
              </w:rPr>
              <w:t>前期准备。公司在生产技术、产品品质、研发能力、客户资源等各方</w:t>
            </w:r>
            <w:proofErr w:type="gramStart"/>
            <w:r>
              <w:rPr>
                <w:rFonts w:asciiTheme="minorEastAsia" w:eastAsiaTheme="minorEastAsia" w:hAnsiTheme="minorEastAsia" w:hint="eastAsia"/>
                <w:sz w:val="24"/>
                <w:szCs w:val="24"/>
              </w:rPr>
              <w:t>面具备</w:t>
            </w:r>
            <w:proofErr w:type="gramEnd"/>
            <w:r>
              <w:rPr>
                <w:rFonts w:asciiTheme="minorEastAsia" w:eastAsiaTheme="minorEastAsia" w:hAnsiTheme="minorEastAsia" w:hint="eastAsia"/>
                <w:sz w:val="24"/>
                <w:szCs w:val="24"/>
              </w:rPr>
              <w:t>了独特的竞争优势，四川工厂的产品导入测试目前进展顺利，已从小</w:t>
            </w:r>
            <w:proofErr w:type="gramStart"/>
            <w:r>
              <w:rPr>
                <w:rFonts w:asciiTheme="minorEastAsia" w:eastAsiaTheme="minorEastAsia" w:hAnsiTheme="minorEastAsia" w:hint="eastAsia"/>
                <w:sz w:val="24"/>
                <w:szCs w:val="24"/>
              </w:rPr>
              <w:t>测进入</w:t>
            </w:r>
            <w:proofErr w:type="gramEnd"/>
            <w:r>
              <w:rPr>
                <w:rFonts w:asciiTheme="minorEastAsia" w:eastAsiaTheme="minorEastAsia" w:hAnsiTheme="minorEastAsia" w:hint="eastAsia"/>
                <w:sz w:val="24"/>
                <w:szCs w:val="24"/>
              </w:rPr>
              <w:t>到大规模测试阶段。后续</w:t>
            </w:r>
            <w:proofErr w:type="gramStart"/>
            <w:r>
              <w:rPr>
                <w:rFonts w:asciiTheme="minorEastAsia" w:eastAsiaTheme="minorEastAsia" w:hAnsiTheme="minorEastAsia" w:hint="eastAsia"/>
                <w:sz w:val="24"/>
                <w:szCs w:val="24"/>
              </w:rPr>
              <w:t>进展请</w:t>
            </w:r>
            <w:proofErr w:type="gramEnd"/>
            <w:r>
              <w:rPr>
                <w:rFonts w:asciiTheme="minorEastAsia" w:eastAsiaTheme="minorEastAsia" w:hAnsiTheme="minorEastAsia" w:hint="eastAsia"/>
                <w:sz w:val="24"/>
                <w:szCs w:val="24"/>
              </w:rPr>
              <w:t>关注公司发布的定期报告和临时公告相关内容。</w:t>
            </w:r>
          </w:p>
          <w:p w14:paraId="299C6B2F" w14:textId="77777777" w:rsidR="002025CA" w:rsidRDefault="002025CA">
            <w:pPr>
              <w:spacing w:line="360" w:lineRule="auto"/>
              <w:rPr>
                <w:rFonts w:asciiTheme="minorEastAsia" w:eastAsiaTheme="minorEastAsia" w:hAnsiTheme="minorEastAsia" w:hint="eastAsia"/>
                <w:sz w:val="24"/>
                <w:szCs w:val="24"/>
              </w:rPr>
            </w:pPr>
          </w:p>
          <w:p w14:paraId="70C8BD51" w14:textId="77777777" w:rsidR="002025CA" w:rsidRDefault="00000000">
            <w:pPr>
              <w:spacing w:line="360" w:lineRule="auto"/>
              <w:rPr>
                <w:rFonts w:asciiTheme="minorEastAsia" w:eastAsiaTheme="minorEastAsia" w:hAnsiTheme="minorEastAsia" w:hint="eastAsia"/>
                <w:sz w:val="24"/>
                <w:szCs w:val="24"/>
              </w:rPr>
            </w:pPr>
            <w:r>
              <w:rPr>
                <w:rFonts w:asciiTheme="minorEastAsia" w:eastAsiaTheme="minorEastAsia" w:hAnsiTheme="minorEastAsia" w:hint="eastAsia"/>
                <w:sz w:val="24"/>
                <w:szCs w:val="24"/>
              </w:rPr>
              <w:t>3、请问公司生产的显影液在LCD和AMOLED这两种面板上</w:t>
            </w:r>
            <w:r>
              <w:rPr>
                <w:rFonts w:asciiTheme="minorEastAsia" w:eastAsiaTheme="minorEastAsia" w:hAnsiTheme="minorEastAsia"/>
                <w:sz w:val="24"/>
                <w:szCs w:val="24"/>
              </w:rPr>
              <w:t>哪</w:t>
            </w:r>
            <w:r>
              <w:rPr>
                <w:rFonts w:asciiTheme="minorEastAsia" w:eastAsiaTheme="minorEastAsia" w:hAnsiTheme="minorEastAsia" w:hint="eastAsia"/>
                <w:sz w:val="24"/>
                <w:szCs w:val="24"/>
              </w:rPr>
              <w:t>种业务量比较大？</w:t>
            </w:r>
          </w:p>
          <w:p w14:paraId="32D00D12" w14:textId="6E47C803" w:rsidR="002025CA" w:rsidRDefault="00000000">
            <w:pPr>
              <w:spacing w:line="360" w:lineRule="auto"/>
              <w:rPr>
                <w:rFonts w:asciiTheme="minorEastAsia" w:eastAsiaTheme="minorEastAsia" w:hAnsiTheme="minorEastAsia" w:hint="eastAsia"/>
                <w:sz w:val="24"/>
                <w:szCs w:val="24"/>
              </w:rPr>
            </w:pPr>
            <w:r>
              <w:rPr>
                <w:rFonts w:asciiTheme="minorEastAsia" w:eastAsiaTheme="minorEastAsia" w:hAnsiTheme="minorEastAsia" w:hint="eastAsia"/>
                <w:sz w:val="24"/>
                <w:szCs w:val="24"/>
              </w:rPr>
              <w:t>答：OLED跟LCD同等面积下在显影液用量上有所差异，目前各客户端因涉及工艺数据，暂无明确的数据统计反馈。一般情况下，单位面积</w:t>
            </w:r>
            <w:r>
              <w:rPr>
                <w:rFonts w:asciiTheme="minorEastAsia" w:eastAsiaTheme="minorEastAsia" w:hAnsiTheme="minorEastAsia" w:hint="eastAsia"/>
                <w:sz w:val="24"/>
                <w:szCs w:val="24"/>
              </w:rPr>
              <w:lastRenderedPageBreak/>
              <w:t>OLED面板比LCD面板TMAH显影液用量大，具体因不同显示面板厂商的生产工艺而有所差异，使用量不一。</w:t>
            </w:r>
          </w:p>
        </w:tc>
      </w:tr>
      <w:tr w:rsidR="002025CA" w14:paraId="47E4EA67" w14:textId="77777777">
        <w:trPr>
          <w:trHeight w:val="464"/>
        </w:trPr>
        <w:tc>
          <w:tcPr>
            <w:tcW w:w="2127" w:type="dxa"/>
          </w:tcPr>
          <w:p w14:paraId="6D9C8D04" w14:textId="77777777" w:rsidR="002025CA" w:rsidRDefault="00000000">
            <w:pPr>
              <w:pStyle w:val="TableParagraph"/>
              <w:spacing w:line="303" w:lineRule="exact"/>
              <w:rPr>
                <w:rFonts w:asciiTheme="minorEastAsia" w:eastAsiaTheme="minorEastAsia" w:hAnsiTheme="minorEastAsia" w:hint="eastAsia"/>
                <w:sz w:val="24"/>
                <w:szCs w:val="24"/>
              </w:rPr>
            </w:pPr>
            <w:r>
              <w:rPr>
                <w:rFonts w:asciiTheme="minorEastAsia" w:eastAsiaTheme="minorEastAsia" w:hAnsiTheme="minorEastAsia" w:hint="eastAsia"/>
                <w:sz w:val="24"/>
                <w:szCs w:val="24"/>
              </w:rPr>
              <w:lastRenderedPageBreak/>
              <w:t>附件清单</w:t>
            </w:r>
          </w:p>
        </w:tc>
        <w:tc>
          <w:tcPr>
            <w:tcW w:w="7229" w:type="dxa"/>
          </w:tcPr>
          <w:p w14:paraId="29DABF2D" w14:textId="77777777" w:rsidR="002025CA" w:rsidRDefault="00000000">
            <w:pPr>
              <w:pStyle w:val="TableParagraph"/>
              <w:ind w:left="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无</w:t>
            </w:r>
          </w:p>
        </w:tc>
      </w:tr>
      <w:tr w:rsidR="002025CA" w14:paraId="07AD761F" w14:textId="77777777">
        <w:trPr>
          <w:trHeight w:val="277"/>
        </w:trPr>
        <w:tc>
          <w:tcPr>
            <w:tcW w:w="2127" w:type="dxa"/>
          </w:tcPr>
          <w:p w14:paraId="34014F14" w14:textId="77777777" w:rsidR="002025CA" w:rsidRDefault="00000000">
            <w:pPr>
              <w:pStyle w:val="TableParagraph"/>
              <w:spacing w:before="64" w:line="340" w:lineRule="auto"/>
              <w:ind w:right="97"/>
              <w:jc w:val="both"/>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日期</w:t>
            </w:r>
          </w:p>
        </w:tc>
        <w:tc>
          <w:tcPr>
            <w:tcW w:w="7229" w:type="dxa"/>
          </w:tcPr>
          <w:p w14:paraId="31438E0E" w14:textId="77777777" w:rsidR="002025CA" w:rsidRDefault="00000000">
            <w:pPr>
              <w:pStyle w:val="TableParagraph"/>
              <w:ind w:left="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sz w:val="24"/>
                <w:szCs w:val="24"/>
              </w:rPr>
              <w:t>02</w:t>
            </w:r>
            <w:r>
              <w:rPr>
                <w:rFonts w:asciiTheme="minorEastAsia" w:eastAsiaTheme="minorEastAsia" w:hAnsiTheme="minorEastAsia" w:hint="eastAsia"/>
                <w:sz w:val="24"/>
                <w:szCs w:val="24"/>
              </w:rPr>
              <w:t>4年11月20日</w:t>
            </w:r>
          </w:p>
        </w:tc>
      </w:tr>
    </w:tbl>
    <w:p w14:paraId="24993E3B" w14:textId="77777777" w:rsidR="002025CA" w:rsidRDefault="00000000">
      <w:pPr>
        <w:rPr>
          <w:rFonts w:ascii="宋体" w:hAnsi="宋体" w:hint="eastAsia"/>
          <w:szCs w:val="20"/>
          <w:lang w:val="en-US"/>
        </w:rPr>
      </w:pPr>
      <w:r>
        <w:rPr>
          <w:rFonts w:ascii="宋体" w:hAnsi="宋体" w:hint="eastAsia"/>
          <w:szCs w:val="20"/>
          <w:lang w:val="en-US"/>
        </w:rPr>
        <w:t>注：公司严格遵守信息披露相关规则与投资者进行交流，如涉及公司战略规划等意向性目标，不能视为公司或管理层对公司业绩的保证或承诺，敬请广大投资者注意投资风险。</w:t>
      </w:r>
    </w:p>
    <w:sectPr w:rsidR="002025CA">
      <w:type w:val="continuous"/>
      <w:pgSz w:w="11910" w:h="16840"/>
      <w:pgMar w:top="1520" w:right="1278" w:bottom="280"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2C71C8" w14:textId="77777777" w:rsidR="008E5BBC" w:rsidRDefault="008E5BBC" w:rsidP="00B507D0">
      <w:pPr>
        <w:rPr>
          <w:rFonts w:hint="eastAsia"/>
        </w:rPr>
      </w:pPr>
      <w:r>
        <w:separator/>
      </w:r>
    </w:p>
  </w:endnote>
  <w:endnote w:type="continuationSeparator" w:id="0">
    <w:p w14:paraId="77CF0765" w14:textId="77777777" w:rsidR="008E5BBC" w:rsidRDefault="008E5BBC" w:rsidP="00B507D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E63BDA" w14:textId="77777777" w:rsidR="008E5BBC" w:rsidRDefault="008E5BBC" w:rsidP="00B507D0">
      <w:pPr>
        <w:rPr>
          <w:rFonts w:hint="eastAsia"/>
        </w:rPr>
      </w:pPr>
      <w:r>
        <w:separator/>
      </w:r>
    </w:p>
  </w:footnote>
  <w:footnote w:type="continuationSeparator" w:id="0">
    <w:p w14:paraId="0C02EFFF" w14:textId="77777777" w:rsidR="008E5BBC" w:rsidRDefault="008E5BBC" w:rsidP="00B507D0">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E0B"/>
    <w:rsid w:val="000107D8"/>
    <w:rsid w:val="00017528"/>
    <w:rsid w:val="00042E1F"/>
    <w:rsid w:val="00056C37"/>
    <w:rsid w:val="0007053C"/>
    <w:rsid w:val="000B30AA"/>
    <w:rsid w:val="000D2AB6"/>
    <w:rsid w:val="000E73B9"/>
    <w:rsid w:val="000F2CD1"/>
    <w:rsid w:val="001305E4"/>
    <w:rsid w:val="001572B6"/>
    <w:rsid w:val="002025CA"/>
    <w:rsid w:val="00215255"/>
    <w:rsid w:val="00327BF0"/>
    <w:rsid w:val="003575D7"/>
    <w:rsid w:val="003C6CFD"/>
    <w:rsid w:val="004776E5"/>
    <w:rsid w:val="004977B4"/>
    <w:rsid w:val="004B3293"/>
    <w:rsid w:val="004F68F0"/>
    <w:rsid w:val="00507E2E"/>
    <w:rsid w:val="005156BA"/>
    <w:rsid w:val="00520021"/>
    <w:rsid w:val="005207E7"/>
    <w:rsid w:val="00551301"/>
    <w:rsid w:val="00552269"/>
    <w:rsid w:val="00552E3E"/>
    <w:rsid w:val="00557830"/>
    <w:rsid w:val="00571D06"/>
    <w:rsid w:val="00584078"/>
    <w:rsid w:val="005D738A"/>
    <w:rsid w:val="00610110"/>
    <w:rsid w:val="006F450D"/>
    <w:rsid w:val="00711F8E"/>
    <w:rsid w:val="00714F34"/>
    <w:rsid w:val="007608FA"/>
    <w:rsid w:val="007B6582"/>
    <w:rsid w:val="007C4CCC"/>
    <w:rsid w:val="007D465A"/>
    <w:rsid w:val="007E1942"/>
    <w:rsid w:val="007E3B0D"/>
    <w:rsid w:val="0080748E"/>
    <w:rsid w:val="0081611E"/>
    <w:rsid w:val="008756E0"/>
    <w:rsid w:val="008A4F6A"/>
    <w:rsid w:val="008E5BBC"/>
    <w:rsid w:val="008E69FB"/>
    <w:rsid w:val="00901E9E"/>
    <w:rsid w:val="0090210B"/>
    <w:rsid w:val="00946532"/>
    <w:rsid w:val="00961334"/>
    <w:rsid w:val="009A5806"/>
    <w:rsid w:val="009B56F7"/>
    <w:rsid w:val="009F0355"/>
    <w:rsid w:val="00A15449"/>
    <w:rsid w:val="00A16B93"/>
    <w:rsid w:val="00A83E0B"/>
    <w:rsid w:val="00A83F33"/>
    <w:rsid w:val="00A92E65"/>
    <w:rsid w:val="00AB70D9"/>
    <w:rsid w:val="00AD52E4"/>
    <w:rsid w:val="00B507D0"/>
    <w:rsid w:val="00BC4BE7"/>
    <w:rsid w:val="00C5219B"/>
    <w:rsid w:val="00C6276F"/>
    <w:rsid w:val="00C86610"/>
    <w:rsid w:val="00C86D4C"/>
    <w:rsid w:val="00CE5C72"/>
    <w:rsid w:val="00CF1336"/>
    <w:rsid w:val="00D614A0"/>
    <w:rsid w:val="00D758AF"/>
    <w:rsid w:val="00DA1F9B"/>
    <w:rsid w:val="00DA3A5E"/>
    <w:rsid w:val="00E21290"/>
    <w:rsid w:val="00E77D4C"/>
    <w:rsid w:val="00E8302D"/>
    <w:rsid w:val="00EA64E4"/>
    <w:rsid w:val="00EF2A29"/>
    <w:rsid w:val="00F0083E"/>
    <w:rsid w:val="00F077A1"/>
    <w:rsid w:val="00F67894"/>
    <w:rsid w:val="00F971FE"/>
    <w:rsid w:val="00FA3047"/>
    <w:rsid w:val="00FD431E"/>
    <w:rsid w:val="1ED23A13"/>
    <w:rsid w:val="3DA51EB4"/>
    <w:rsid w:val="3FEF37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C9A718A"/>
  <w15:docId w15:val="{FC6463BA-5256-49AF-BEF0-25856A2D5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rFonts w:ascii="宋体" w:eastAsia="宋体" w:hAnsi="宋体" w:cs="宋体"/>
      <w:sz w:val="44"/>
      <w:szCs w:val="44"/>
    </w:rPr>
  </w:style>
  <w:style w:type="paragraph" w:styleId="a4">
    <w:name w:val="footer"/>
    <w:basedOn w:val="a"/>
    <w:link w:val="a5"/>
    <w:pPr>
      <w:tabs>
        <w:tab w:val="center" w:pos="4153"/>
        <w:tab w:val="right" w:pos="8306"/>
      </w:tabs>
      <w:snapToGrid w:val="0"/>
    </w:pPr>
    <w:rPr>
      <w:sz w:val="18"/>
      <w:szCs w:val="18"/>
    </w:rPr>
  </w:style>
  <w:style w:type="paragraph" w:styleId="a6">
    <w:name w:val="header"/>
    <w:basedOn w:val="a"/>
    <w:link w:val="a7"/>
    <w:pPr>
      <w:pBdr>
        <w:bottom w:val="single" w:sz="6" w:space="1" w:color="auto"/>
      </w:pBdr>
      <w:tabs>
        <w:tab w:val="center" w:pos="4153"/>
        <w:tab w:val="right" w:pos="8306"/>
      </w:tabs>
      <w:snapToGrid w:val="0"/>
      <w:jc w:val="center"/>
    </w:pPr>
    <w:rPr>
      <w:sz w:val="18"/>
      <w:szCs w:val="18"/>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8">
    <w:name w:val="List Paragraph"/>
    <w:basedOn w:val="a"/>
    <w:uiPriority w:val="1"/>
    <w:qFormat/>
  </w:style>
  <w:style w:type="paragraph" w:customStyle="1" w:styleId="TableParagraph">
    <w:name w:val="Table Paragraph"/>
    <w:basedOn w:val="a"/>
    <w:uiPriority w:val="1"/>
    <w:qFormat/>
    <w:pPr>
      <w:ind w:left="107"/>
    </w:pPr>
  </w:style>
  <w:style w:type="character" w:customStyle="1" w:styleId="a7">
    <w:name w:val="页眉 字符"/>
    <w:basedOn w:val="a0"/>
    <w:link w:val="a6"/>
    <w:rPr>
      <w:rFonts w:ascii="仿宋" w:eastAsia="仿宋" w:hAnsi="仿宋" w:cs="仿宋"/>
      <w:sz w:val="18"/>
      <w:szCs w:val="18"/>
      <w:lang w:val="zh-CN" w:bidi="zh-CN"/>
    </w:rPr>
  </w:style>
  <w:style w:type="character" w:customStyle="1" w:styleId="a5">
    <w:name w:val="页脚 字符"/>
    <w:basedOn w:val="a0"/>
    <w:link w:val="a4"/>
    <w:rPr>
      <w:rFonts w:ascii="仿宋" w:eastAsia="仿宋" w:hAnsi="仿宋" w:cs="仿宋"/>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2</Pages>
  <Words>134</Words>
  <Characters>767</Characters>
  <Application>Microsoft Office Word</Application>
  <DocSecurity>0</DocSecurity>
  <Lines>6</Lines>
  <Paragraphs>1</Paragraphs>
  <ScaleCrop>false</ScaleCrop>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杨展</dc:creator>
  <cp:lastModifiedBy>qi zhang</cp:lastModifiedBy>
  <cp:revision>2</cp:revision>
  <dcterms:created xsi:type="dcterms:W3CDTF">2024-10-31T18:36:00Z</dcterms:created>
  <dcterms:modified xsi:type="dcterms:W3CDTF">2024-11-20T08:41:00Z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2022-07-29T00:00:00Z</vt:filetime>
  </property>
  <property fmtid="{D5CDD505-2E9C-101B-9397-08002B2CF9AE}" pid="3" name="Creator">
    <vt:lpwstr>Microsoft® Word 2010</vt:lpwstr>
  </property>
  <property fmtid="{D5CDD505-2E9C-101B-9397-08002B2CF9AE}" pid="4" name="LastSaved">
    <vt:filetime>2022-11-24T00:00:00Z</vt:filetime>
  </property>
  <property fmtid="{D5CDD505-2E9C-101B-9397-08002B2CF9AE}" pid="5" name="KSOProductBuildVer">
    <vt:lpwstr>2052-0.0.0.0</vt:lpwstr>
  </property>
</Properties>
</file>