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keepLines/>
        <w:spacing w:before="100" w:beforeAutospacing="true" w:after="260" w:lineRule="auto" w:line="360"/>
        <w:outlineLvl w:val="1"/>
        <w:rPr>
          <w:rFonts w:ascii="宋体" w:cs="Times New Roman" w:hAnsi="宋体"/>
          <w:bCs/>
          <w:iCs/>
          <w:color w:val="000000"/>
          <w:sz w:val="28"/>
          <w:szCs w:val="28"/>
        </w:rPr>
      </w:pPr>
      <w:r>
        <w:rPr>
          <w:rFonts w:ascii="宋体" w:cs="Times New Roman" w:hAnsi="宋体" w:hint="eastAsia"/>
          <w:bCs/>
          <w:iCs/>
          <w:color w:val="000000"/>
          <w:sz w:val="28"/>
          <w:szCs w:val="28"/>
        </w:rPr>
        <w:t>证券代码：</w:t>
      </w:r>
      <w:r>
        <w:rPr>
          <w:rFonts w:ascii="宋体" w:cs="Times New Roman" w:hAnsi="宋体"/>
          <w:bCs/>
          <w:iCs/>
          <w:color w:val="000000"/>
          <w:sz w:val="28"/>
          <w:szCs w:val="28"/>
        </w:rPr>
        <w:t>601</w:t>
      </w:r>
      <w:r>
        <w:rPr>
          <w:rFonts w:ascii="宋体" w:cs="Times New Roman" w:hAnsi="宋体"/>
          <w:bCs/>
          <w:iCs/>
          <w:color w:val="000000"/>
          <w:sz w:val="28"/>
          <w:szCs w:val="28"/>
        </w:rPr>
        <w:t>018</w:t>
      </w:r>
      <w:r>
        <w:rPr>
          <w:rFonts w:ascii="宋体" w:cs="Times New Roman" w:hAnsi="宋体" w:hint="eastAsia"/>
          <w:bCs/>
          <w:iCs/>
          <w:color w:val="000000"/>
          <w:sz w:val="28"/>
          <w:szCs w:val="28"/>
        </w:rPr>
        <w:t xml:space="preserve">  </w:t>
      </w:r>
      <w:r>
        <w:rPr>
          <w:rFonts w:ascii="宋体" w:cs="Times New Roman" w:hAnsi="宋体" w:hint="eastAsia"/>
          <w:bCs/>
          <w:iCs/>
          <w:color w:val="000000"/>
          <w:sz w:val="28"/>
          <w:szCs w:val="28"/>
        </w:rPr>
        <w:t xml:space="preserve">                         </w:t>
      </w:r>
      <w:r>
        <w:rPr>
          <w:rFonts w:ascii="宋体" w:cs="Times New Roman" w:hAnsi="宋体" w:hint="eastAsia"/>
          <w:bCs/>
          <w:iCs/>
          <w:color w:val="000000"/>
          <w:sz w:val="28"/>
          <w:szCs w:val="28"/>
        </w:rPr>
        <w:t>证券简称：宁波</w:t>
      </w:r>
      <w:r>
        <w:rPr>
          <w:rFonts w:ascii="宋体" w:cs="Times New Roman" w:hAnsi="宋体" w:hint="eastAsia"/>
          <w:bCs/>
          <w:iCs/>
          <w:color w:val="000000"/>
          <w:sz w:val="28"/>
          <w:szCs w:val="28"/>
        </w:rPr>
        <w:t>港</w:t>
      </w:r>
    </w:p>
    <w:p>
      <w:pPr>
        <w:pStyle w:val="style0"/>
        <w:snapToGrid w:val="false"/>
        <w:spacing w:lineRule="auto" w:line="300"/>
        <w:jc w:val="center"/>
        <w:rPr>
          <w:rFonts w:ascii="宋体" w:cs="Times New Roman" w:hAnsi="宋体"/>
          <w:b/>
          <w:bCs/>
          <w:iCs/>
          <w:color w:val="000000"/>
          <w:sz w:val="28"/>
          <w:szCs w:val="28"/>
        </w:rPr>
      </w:pPr>
      <w:r>
        <w:rPr>
          <w:rFonts w:ascii="宋体" w:cs="Times New Roman" w:hAnsi="宋体" w:hint="eastAsia"/>
          <w:b/>
          <w:bCs/>
          <w:iCs/>
          <w:color w:val="000000"/>
          <w:sz w:val="28"/>
          <w:szCs w:val="28"/>
        </w:rPr>
        <w:t>宁波</w:t>
      </w:r>
      <w:r>
        <w:rPr>
          <w:rFonts w:ascii="宋体" w:cs="Times New Roman" w:hAnsi="宋体" w:hint="eastAsia"/>
          <w:b/>
          <w:bCs/>
          <w:iCs/>
          <w:color w:val="000000"/>
          <w:sz w:val="28"/>
          <w:szCs w:val="28"/>
        </w:rPr>
        <w:t>舟山港</w:t>
      </w:r>
      <w:r>
        <w:rPr>
          <w:rFonts w:ascii="宋体" w:cs="Times New Roman" w:hAnsi="宋体" w:hint="eastAsia"/>
          <w:b/>
          <w:bCs/>
          <w:iCs/>
          <w:color w:val="000000"/>
          <w:sz w:val="28"/>
          <w:szCs w:val="28"/>
        </w:rPr>
        <w:t>股份有限公司投资者关系活动记录表</w:t>
      </w:r>
    </w:p>
    <w:p>
      <w:pPr>
        <w:pStyle w:val="style0"/>
        <w:snapToGrid w:val="false"/>
        <w:spacing w:lineRule="auto" w:line="300"/>
        <w:jc w:val="center"/>
        <w:rPr>
          <w:rFonts w:ascii="宋体" w:cs="Times New Roman" w:hAnsi="宋体"/>
          <w:b/>
          <w:bCs/>
          <w:iCs/>
          <w:color w:val="000000"/>
          <w:sz w:val="28"/>
          <w:szCs w:val="28"/>
        </w:rPr>
      </w:pP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7796"/>
      </w:tblGrid>
      <w:tr>
        <w:trPr/>
        <w:tc>
          <w:tcPr>
            <w:tcW w:w="1731" w:type="dxa"/>
            <w:tcBorders/>
            <w:shd w:val="clear" w:color="auto" w:fill="auto"/>
          </w:tcPr>
          <w:p>
            <w:pPr>
              <w:pStyle w:val="style0"/>
              <w:snapToGrid w:val="false"/>
              <w:spacing w:lineRule="auto" w:line="300"/>
              <w:jc w:val="left"/>
              <w:rPr>
                <w:rFonts w:ascii="宋体" w:cs="Times New Roman" w:hAnsi="宋体"/>
                <w:bCs/>
                <w:iCs/>
                <w:color w:val="000000"/>
                <w:kern w:val="0"/>
                <w:sz w:val="24"/>
                <w:szCs w:val="24"/>
              </w:rPr>
            </w:pPr>
            <w:r>
              <w:rPr>
                <w:rFonts w:ascii="宋体" w:cs="Times New Roman" w:hAnsi="宋体"/>
                <w:bCs/>
                <w:iCs/>
                <w:color w:val="000000"/>
                <w:kern w:val="0"/>
                <w:sz w:val="24"/>
                <w:szCs w:val="24"/>
              </w:rPr>
              <w:t>投资者关系活动类别</w:t>
            </w:r>
          </w:p>
          <w:p>
            <w:pPr>
              <w:pStyle w:val="style0"/>
              <w:snapToGrid w:val="false"/>
              <w:spacing w:lineRule="auto" w:line="300"/>
              <w:jc w:val="left"/>
              <w:rPr>
                <w:rFonts w:ascii="宋体" w:cs="Times New Roman" w:hAnsi="宋体"/>
                <w:bCs/>
                <w:iCs/>
                <w:color w:val="000000"/>
                <w:kern w:val="0"/>
                <w:sz w:val="24"/>
                <w:szCs w:val="24"/>
              </w:rPr>
            </w:pPr>
          </w:p>
        </w:tc>
        <w:tc>
          <w:tcPr>
            <w:tcW w:w="7796" w:type="dxa"/>
            <w:tcBorders/>
            <w:shd w:val="clear" w:color="auto" w:fill="auto"/>
          </w:tcPr>
          <w:p>
            <w:pPr>
              <w:pStyle w:val="style0"/>
              <w:snapToGrid w:val="false"/>
              <w:spacing w:lineRule="auto" w:line="300"/>
              <w:jc w:val="left"/>
              <w:rPr>
                <w:rFonts w:ascii="宋体" w:cs="Times New Roman" w:hAnsi="宋体"/>
                <w:bCs/>
                <w:iCs/>
                <w:color w:val="000000"/>
                <w:kern w:val="0"/>
                <w:sz w:val="24"/>
                <w:szCs w:val="24"/>
              </w:rPr>
            </w:pPr>
            <w:r>
              <w:rPr>
                <w:rFonts w:ascii="宋体" w:cs="Times New Roman" w:hAnsi="宋体" w:hint="eastAsia"/>
                <w:bCs/>
                <w:iCs/>
                <w:color w:val="000000"/>
                <w:kern w:val="0"/>
                <w:sz w:val="24"/>
                <w:szCs w:val="24"/>
              </w:rPr>
              <w:t>□</w:t>
            </w:r>
            <w:r>
              <w:rPr>
                <w:rFonts w:ascii="宋体" w:cs="Times New Roman" w:hAnsi="宋体"/>
                <w:bCs/>
                <w:iCs/>
                <w:color w:val="000000"/>
                <w:kern w:val="0"/>
                <w:sz w:val="24"/>
                <w:szCs w:val="24"/>
              </w:rPr>
              <w:t xml:space="preserve">特定对象调研        </w:t>
            </w:r>
            <w:r>
              <w:rPr>
                <w:rFonts w:ascii="宋体" w:cs="Times New Roman" w:hAnsi="宋体" w:hint="eastAsia"/>
                <w:bCs/>
                <w:iCs/>
                <w:color w:val="000000"/>
                <w:kern w:val="0"/>
                <w:sz w:val="24"/>
                <w:szCs w:val="24"/>
              </w:rPr>
              <w:t>□</w:t>
            </w:r>
            <w:r>
              <w:rPr>
                <w:rFonts w:ascii="宋体" w:cs="Times New Roman" w:hAnsi="宋体"/>
                <w:bCs/>
                <w:iCs/>
                <w:color w:val="000000"/>
                <w:kern w:val="0"/>
                <w:sz w:val="24"/>
                <w:szCs w:val="24"/>
              </w:rPr>
              <w:t>分析师会议</w:t>
            </w:r>
          </w:p>
          <w:p>
            <w:pPr>
              <w:pStyle w:val="style0"/>
              <w:snapToGrid w:val="false"/>
              <w:spacing w:lineRule="auto" w:line="300"/>
              <w:jc w:val="left"/>
              <w:rPr>
                <w:rFonts w:ascii="宋体" w:cs="Times New Roman" w:hAnsi="宋体"/>
                <w:bCs/>
                <w:iCs/>
                <w:color w:val="000000"/>
                <w:kern w:val="0"/>
                <w:sz w:val="24"/>
                <w:szCs w:val="24"/>
              </w:rPr>
            </w:pPr>
            <w:r>
              <w:rPr>
                <w:rFonts w:ascii="宋体" w:cs="Times New Roman" w:hAnsi="宋体" w:hint="eastAsia"/>
                <w:bCs/>
                <w:iCs/>
                <w:color w:val="000000"/>
                <w:kern w:val="0"/>
                <w:sz w:val="24"/>
                <w:szCs w:val="24"/>
              </w:rPr>
              <w:t>□</w:t>
            </w:r>
            <w:r>
              <w:rPr>
                <w:rFonts w:ascii="宋体" w:cs="Times New Roman" w:hAnsi="宋体"/>
                <w:bCs/>
                <w:iCs/>
                <w:color w:val="000000"/>
                <w:kern w:val="0"/>
                <w:sz w:val="24"/>
                <w:szCs w:val="24"/>
              </w:rPr>
              <w:t xml:space="preserve">媒体采访            </w:t>
            </w:r>
            <w:r>
              <w:rPr>
                <w:rFonts w:ascii="宋体" w:cs="Times New Roman" w:hAnsi="宋体" w:hint="eastAsia"/>
                <w:bCs/>
                <w:iCs/>
                <w:color w:val="000000"/>
                <w:kern w:val="0"/>
                <w:sz w:val="24"/>
                <w:szCs w:val="24"/>
              </w:rPr>
              <w:t>√</w:t>
            </w:r>
            <w:bookmarkStart w:id="0" w:name="_GoBack"/>
            <w:bookmarkEnd w:id="0"/>
            <w:r>
              <w:rPr>
                <w:rFonts w:ascii="宋体" w:cs="Times New Roman" w:hAnsi="宋体"/>
                <w:bCs/>
                <w:iCs/>
                <w:color w:val="000000"/>
                <w:kern w:val="0"/>
                <w:sz w:val="24"/>
                <w:szCs w:val="24"/>
              </w:rPr>
              <w:t>业绩说明会</w:t>
            </w:r>
          </w:p>
          <w:p>
            <w:pPr>
              <w:pStyle w:val="style0"/>
              <w:snapToGrid w:val="false"/>
              <w:spacing w:lineRule="auto" w:line="300"/>
              <w:jc w:val="left"/>
              <w:rPr>
                <w:rFonts w:ascii="宋体" w:cs="Times New Roman" w:hAnsi="宋体"/>
                <w:bCs/>
                <w:iCs/>
                <w:color w:val="000000"/>
                <w:kern w:val="0"/>
                <w:sz w:val="24"/>
                <w:szCs w:val="24"/>
              </w:rPr>
            </w:pPr>
            <w:r>
              <w:rPr>
                <w:rFonts w:ascii="宋体" w:cs="Times New Roman" w:hAnsi="宋体" w:hint="eastAsia"/>
                <w:bCs/>
                <w:iCs/>
                <w:color w:val="000000"/>
                <w:kern w:val="0"/>
                <w:sz w:val="24"/>
                <w:szCs w:val="24"/>
              </w:rPr>
              <w:t>□</w:t>
            </w:r>
            <w:r>
              <w:rPr>
                <w:rFonts w:ascii="宋体" w:cs="Times New Roman" w:hAnsi="宋体"/>
                <w:bCs/>
                <w:iCs/>
                <w:color w:val="000000"/>
                <w:kern w:val="0"/>
                <w:sz w:val="24"/>
                <w:szCs w:val="24"/>
              </w:rPr>
              <w:t xml:space="preserve">新闻发布会          </w:t>
            </w:r>
            <w:r>
              <w:rPr>
                <w:rFonts w:ascii="宋体" w:cs="Times New Roman" w:hAnsi="宋体" w:hint="eastAsia"/>
                <w:bCs/>
                <w:iCs/>
                <w:color w:val="000000"/>
                <w:kern w:val="0"/>
                <w:sz w:val="24"/>
                <w:szCs w:val="24"/>
              </w:rPr>
              <w:t>□</w:t>
            </w:r>
            <w:r>
              <w:rPr>
                <w:rFonts w:ascii="宋体" w:cs="Times New Roman" w:hAnsi="宋体"/>
                <w:bCs/>
                <w:iCs/>
                <w:color w:val="000000"/>
                <w:kern w:val="0"/>
                <w:sz w:val="24"/>
                <w:szCs w:val="24"/>
              </w:rPr>
              <w:t>路演活动</w:t>
            </w:r>
          </w:p>
          <w:p>
            <w:pPr>
              <w:pStyle w:val="style0"/>
              <w:tabs>
                <w:tab w:val="left" w:leader="none" w:pos="2690"/>
                <w:tab w:val="center" w:leader="none" w:pos="3199"/>
              </w:tabs>
              <w:snapToGrid w:val="false"/>
              <w:spacing w:lineRule="auto" w:line="300"/>
              <w:jc w:val="left"/>
              <w:rPr>
                <w:rFonts w:ascii="宋体" w:cs="Times New Roman" w:hAnsi="宋体"/>
                <w:bCs/>
                <w:iCs/>
                <w:color w:val="000000"/>
                <w:kern w:val="0"/>
                <w:sz w:val="24"/>
                <w:szCs w:val="24"/>
              </w:rPr>
            </w:pPr>
            <w:r>
              <w:rPr>
                <w:rFonts w:ascii="宋体" w:cs="Times New Roman" w:hAnsi="宋体" w:hint="eastAsia"/>
                <w:bCs/>
                <w:iCs/>
                <w:color w:val="000000"/>
                <w:kern w:val="0"/>
                <w:sz w:val="24"/>
                <w:szCs w:val="24"/>
              </w:rPr>
              <w:t>□</w:t>
            </w:r>
            <w:r>
              <w:rPr>
                <w:rFonts w:ascii="宋体" w:cs="Times New Roman" w:hAnsi="宋体"/>
                <w:bCs/>
                <w:iCs/>
                <w:color w:val="000000"/>
                <w:kern w:val="0"/>
                <w:sz w:val="24"/>
                <w:szCs w:val="24"/>
              </w:rPr>
              <w:t xml:space="preserve">现场参观            </w:t>
            </w:r>
            <w:r>
              <w:rPr>
                <w:rFonts w:ascii="宋体" w:cs="Times New Roman" w:hAnsi="宋体" w:hint="eastAsia"/>
                <w:bCs/>
                <w:iCs/>
                <w:color w:val="000000"/>
                <w:kern w:val="0"/>
                <w:sz w:val="24"/>
                <w:szCs w:val="24"/>
              </w:rPr>
              <w:t>□</w:t>
            </w:r>
            <w:r>
              <w:rPr>
                <w:rFonts w:ascii="宋体" w:cs="Times New Roman" w:hAnsi="宋体"/>
                <w:bCs/>
                <w:iCs/>
                <w:color w:val="000000"/>
                <w:kern w:val="0"/>
                <w:sz w:val="24"/>
                <w:szCs w:val="24"/>
              </w:rPr>
              <w:t>电话会议</w:t>
            </w:r>
          </w:p>
          <w:p>
            <w:pPr>
              <w:pStyle w:val="style0"/>
              <w:tabs>
                <w:tab w:val="center" w:leader="none" w:pos="3199"/>
              </w:tabs>
              <w:snapToGrid w:val="false"/>
              <w:spacing w:lineRule="auto" w:line="300"/>
              <w:jc w:val="left"/>
              <w:rPr>
                <w:rFonts w:ascii="宋体" w:cs="Times New Roman" w:hAnsi="宋体"/>
                <w:bCs/>
                <w:iCs/>
                <w:color w:val="000000"/>
                <w:kern w:val="0"/>
                <w:sz w:val="24"/>
                <w:szCs w:val="24"/>
              </w:rPr>
            </w:pPr>
            <w:r>
              <w:rPr>
                <w:rFonts w:ascii="宋体" w:cs="Times New Roman" w:hAnsi="宋体" w:hint="eastAsia"/>
                <w:bCs/>
                <w:iCs/>
                <w:color w:val="000000"/>
                <w:kern w:val="0"/>
                <w:sz w:val="24"/>
                <w:szCs w:val="24"/>
              </w:rPr>
              <w:t>□</w:t>
            </w:r>
            <w:r>
              <w:rPr>
                <w:rFonts w:ascii="宋体" w:cs="Times New Roman" w:hAnsi="宋体"/>
                <w:bCs/>
                <w:iCs/>
                <w:color w:val="000000"/>
                <w:kern w:val="0"/>
                <w:sz w:val="24"/>
                <w:szCs w:val="24"/>
              </w:rPr>
              <w:t>其他 （</w:t>
            </w:r>
            <w:r>
              <w:rPr>
                <w:rFonts w:ascii="宋体" w:cs="Times New Roman" w:hAnsi="宋体"/>
                <w:bCs/>
                <w:iCs/>
                <w:color w:val="000000"/>
                <w:kern w:val="0"/>
                <w:sz w:val="24"/>
                <w:szCs w:val="24"/>
              </w:rPr>
              <w:t>请文字</w:t>
            </w:r>
            <w:r>
              <w:rPr>
                <w:rFonts w:ascii="宋体" w:cs="Times New Roman" w:hAnsi="宋体"/>
                <w:bCs/>
                <w:iCs/>
                <w:color w:val="000000"/>
                <w:kern w:val="0"/>
                <w:sz w:val="24"/>
                <w:szCs w:val="24"/>
              </w:rPr>
              <w:t>说明其他活动内容）</w:t>
            </w:r>
          </w:p>
        </w:tc>
      </w:tr>
      <w:tr>
        <w:tblPrEx/>
        <w:trPr>
          <w:trHeight w:val="865" w:hRule="atLeast"/>
        </w:trPr>
        <w:tc>
          <w:tcPr>
            <w:tcW w:w="1731" w:type="dxa"/>
            <w:tcBorders/>
            <w:shd w:val="clear" w:color="auto" w:fill="auto"/>
          </w:tcPr>
          <w:p>
            <w:pPr>
              <w:pStyle w:val="style0"/>
              <w:snapToGrid w:val="false"/>
              <w:spacing w:lineRule="auto" w:line="300"/>
              <w:jc w:val="left"/>
              <w:rPr>
                <w:rFonts w:ascii="宋体" w:cs="Times New Roman" w:hAnsi="宋体"/>
                <w:bCs/>
                <w:iCs/>
                <w:color w:val="000000"/>
                <w:kern w:val="0"/>
                <w:sz w:val="24"/>
                <w:szCs w:val="24"/>
              </w:rPr>
            </w:pPr>
            <w:r>
              <w:rPr>
                <w:rFonts w:ascii="宋体" w:cs="Times New Roman" w:hAnsi="宋体"/>
                <w:bCs/>
                <w:iCs/>
                <w:color w:val="000000"/>
                <w:kern w:val="0"/>
                <w:sz w:val="24"/>
                <w:szCs w:val="24"/>
              </w:rPr>
              <w:t>参与单位名称及人员姓名</w:t>
            </w:r>
          </w:p>
        </w:tc>
        <w:tc>
          <w:tcPr>
            <w:tcW w:w="7796" w:type="dxa"/>
            <w:tcBorders/>
            <w:shd w:val="clear" w:color="auto" w:fill="auto"/>
          </w:tcPr>
          <w:p>
            <w:pPr>
              <w:pStyle w:val="style0"/>
              <w:tabs>
                <w:tab w:val="center" w:leader="none" w:pos="2798"/>
              </w:tabs>
              <w:snapToGrid w:val="false"/>
              <w:spacing w:lineRule="auto" w:line="300"/>
              <w:jc w:val="left"/>
              <w:rPr>
                <w:rFonts w:ascii="宋体" w:cs="Times New Roman" w:hAnsi="宋体"/>
                <w:bCs/>
                <w:iCs/>
                <w:color w:val="000000"/>
                <w:kern w:val="0"/>
                <w:sz w:val="24"/>
                <w:szCs w:val="24"/>
              </w:rPr>
            </w:pPr>
            <w:r>
              <w:rPr>
                <w:rFonts w:ascii="宋体" w:cs="Times New Roman" w:hAnsi="宋体"/>
                <w:bCs/>
                <w:iCs/>
                <w:color w:val="000000"/>
                <w:kern w:val="0"/>
                <w:sz w:val="24"/>
                <w:szCs w:val="24"/>
              </w:rPr>
              <w:t>线上参与公司20</w:t>
            </w:r>
            <w:r>
              <w:rPr>
                <w:rFonts w:ascii="宋体" w:cs="Times New Roman" w:hAnsi="宋体" w:hint="eastAsia"/>
                <w:bCs/>
                <w:iCs/>
                <w:color w:val="000000"/>
                <w:kern w:val="0"/>
                <w:sz w:val="24"/>
                <w:szCs w:val="24"/>
              </w:rPr>
              <w:t>24</w:t>
            </w:r>
            <w:r>
              <w:rPr>
                <w:rFonts w:ascii="宋体" w:cs="Times New Roman" w:hAnsi="宋体"/>
                <w:bCs/>
                <w:iCs/>
                <w:color w:val="000000"/>
                <w:kern w:val="0"/>
                <w:sz w:val="24"/>
                <w:szCs w:val="24"/>
              </w:rPr>
              <w:t>年</w:t>
            </w:r>
            <w:r>
              <w:rPr>
                <w:rFonts w:ascii="宋体" w:cs="Times New Roman" w:hAnsi="宋体" w:hint="eastAsia"/>
                <w:bCs/>
                <w:iCs/>
                <w:color w:val="000000"/>
                <w:kern w:val="0"/>
                <w:sz w:val="24"/>
                <w:szCs w:val="24"/>
              </w:rPr>
              <w:t>三季</w:t>
            </w:r>
            <w:r>
              <w:rPr>
                <w:rFonts w:ascii="宋体" w:cs="Times New Roman" w:hAnsi="宋体"/>
                <w:bCs/>
                <w:iCs/>
                <w:color w:val="000000"/>
                <w:kern w:val="0"/>
                <w:sz w:val="24"/>
                <w:szCs w:val="24"/>
              </w:rPr>
              <w:t>度业绩说明会的投资者</w:t>
            </w:r>
          </w:p>
        </w:tc>
      </w:tr>
      <w:tr>
        <w:tblPrEx/>
        <w:trPr/>
        <w:tc>
          <w:tcPr>
            <w:tcW w:w="1731" w:type="dxa"/>
            <w:tcBorders/>
            <w:shd w:val="clear" w:color="auto" w:fill="auto"/>
          </w:tcPr>
          <w:p>
            <w:pPr>
              <w:pStyle w:val="style0"/>
              <w:snapToGrid w:val="false"/>
              <w:spacing w:lineRule="auto" w:line="300"/>
              <w:jc w:val="left"/>
              <w:rPr>
                <w:rFonts w:ascii="宋体" w:cs="Times New Roman" w:hAnsi="宋体"/>
                <w:bCs/>
                <w:iCs/>
                <w:color w:val="000000"/>
                <w:kern w:val="0"/>
                <w:sz w:val="24"/>
                <w:szCs w:val="24"/>
              </w:rPr>
            </w:pPr>
            <w:r>
              <w:rPr>
                <w:rFonts w:ascii="宋体" w:cs="Times New Roman" w:hAnsi="宋体"/>
                <w:bCs/>
                <w:iCs/>
                <w:color w:val="000000"/>
                <w:kern w:val="0"/>
                <w:sz w:val="24"/>
                <w:szCs w:val="24"/>
              </w:rPr>
              <w:t>会议时间</w:t>
            </w:r>
          </w:p>
        </w:tc>
        <w:tc>
          <w:tcPr>
            <w:tcW w:w="7796" w:type="dxa"/>
            <w:tcBorders/>
            <w:shd w:val="clear" w:color="auto" w:fill="auto"/>
          </w:tcPr>
          <w:p>
            <w:pPr>
              <w:pStyle w:val="style0"/>
              <w:snapToGrid w:val="false"/>
              <w:spacing w:lineRule="auto" w:line="300"/>
              <w:jc w:val="left"/>
              <w:rPr>
                <w:rFonts w:ascii="宋体" w:cs="Times New Roman" w:hAnsi="宋体"/>
                <w:bCs/>
                <w:iCs/>
                <w:color w:val="000000"/>
                <w:kern w:val="0"/>
                <w:sz w:val="24"/>
                <w:szCs w:val="24"/>
              </w:rPr>
            </w:pPr>
            <w:r>
              <w:rPr>
                <w:rFonts w:ascii="宋体" w:cs="Times New Roman" w:hAnsi="宋体"/>
                <w:bCs/>
                <w:iCs/>
                <w:color w:val="000000"/>
                <w:kern w:val="0"/>
                <w:sz w:val="24"/>
                <w:szCs w:val="24"/>
              </w:rPr>
              <w:t>2024年</w:t>
            </w:r>
            <w:r>
              <w:rPr>
                <w:rFonts w:ascii="宋体" w:cs="Times New Roman" w:hAnsi="宋体"/>
                <w:bCs/>
                <w:iCs/>
                <w:color w:val="000000"/>
                <w:kern w:val="0"/>
                <w:sz w:val="24"/>
                <w:szCs w:val="24"/>
              </w:rPr>
              <w:t>11</w:t>
            </w:r>
            <w:r>
              <w:rPr>
                <w:rFonts w:ascii="宋体" w:cs="Times New Roman" w:hAnsi="宋体"/>
                <w:bCs/>
                <w:iCs/>
                <w:color w:val="000000"/>
                <w:kern w:val="0"/>
                <w:sz w:val="24"/>
                <w:szCs w:val="24"/>
              </w:rPr>
              <w:t>月</w:t>
            </w:r>
            <w:r>
              <w:rPr>
                <w:rFonts w:ascii="宋体" w:cs="Times New Roman" w:hAnsi="宋体" w:hint="eastAsia"/>
                <w:bCs/>
                <w:iCs/>
                <w:color w:val="000000"/>
                <w:kern w:val="0"/>
                <w:sz w:val="24"/>
                <w:szCs w:val="24"/>
              </w:rPr>
              <w:t>2</w:t>
            </w:r>
            <w:r>
              <w:rPr>
                <w:rFonts w:ascii="宋体" w:cs="Times New Roman" w:hAnsi="宋体"/>
                <w:bCs/>
                <w:iCs/>
                <w:color w:val="000000"/>
                <w:kern w:val="0"/>
                <w:sz w:val="24"/>
                <w:szCs w:val="24"/>
              </w:rPr>
              <w:t>0</w:t>
            </w:r>
            <w:r>
              <w:rPr>
                <w:rFonts w:ascii="宋体" w:cs="Times New Roman" w:hAnsi="宋体"/>
                <w:bCs/>
                <w:iCs/>
                <w:color w:val="000000"/>
                <w:kern w:val="0"/>
                <w:sz w:val="24"/>
                <w:szCs w:val="24"/>
              </w:rPr>
              <w:t>日</w:t>
            </w:r>
            <w:r>
              <w:rPr>
                <w:rFonts w:ascii="宋体" w:cs="Times New Roman" w:hAnsi="宋体"/>
                <w:bCs/>
                <w:iCs/>
                <w:color w:val="000000"/>
                <w:kern w:val="0"/>
                <w:sz w:val="24"/>
                <w:szCs w:val="24"/>
              </w:rPr>
              <w:t>09:00-10:0</w:t>
            </w:r>
            <w:r>
              <w:rPr>
                <w:rFonts w:ascii="宋体" w:cs="Times New Roman" w:hAnsi="宋体"/>
                <w:bCs/>
                <w:iCs/>
                <w:color w:val="000000"/>
                <w:kern w:val="0"/>
                <w:sz w:val="24"/>
                <w:szCs w:val="24"/>
              </w:rPr>
              <w:t>0</w:t>
            </w:r>
          </w:p>
        </w:tc>
      </w:tr>
      <w:tr>
        <w:tblPrEx/>
        <w:trPr/>
        <w:tc>
          <w:tcPr>
            <w:tcW w:w="1731" w:type="dxa"/>
            <w:tcBorders/>
            <w:shd w:val="clear" w:color="auto" w:fill="auto"/>
          </w:tcPr>
          <w:p>
            <w:pPr>
              <w:pStyle w:val="style0"/>
              <w:snapToGrid w:val="false"/>
              <w:spacing w:lineRule="auto" w:line="300"/>
              <w:jc w:val="left"/>
              <w:rPr>
                <w:rFonts w:ascii="宋体" w:cs="Times New Roman" w:hAnsi="宋体"/>
                <w:bCs/>
                <w:iCs/>
                <w:color w:val="000000"/>
                <w:kern w:val="0"/>
                <w:sz w:val="24"/>
                <w:szCs w:val="24"/>
              </w:rPr>
            </w:pPr>
            <w:r>
              <w:rPr>
                <w:rFonts w:ascii="宋体" w:cs="Times New Roman" w:hAnsi="宋体"/>
                <w:bCs/>
                <w:iCs/>
                <w:color w:val="000000"/>
                <w:kern w:val="0"/>
                <w:sz w:val="24"/>
                <w:szCs w:val="24"/>
              </w:rPr>
              <w:t>会议地点</w:t>
            </w:r>
          </w:p>
        </w:tc>
        <w:tc>
          <w:tcPr>
            <w:tcW w:w="7796" w:type="dxa"/>
            <w:tcBorders/>
            <w:shd w:val="clear" w:color="auto" w:fill="auto"/>
          </w:tcPr>
          <w:p>
            <w:pPr>
              <w:pStyle w:val="style0"/>
              <w:snapToGrid w:val="false"/>
              <w:spacing w:lineRule="auto" w:line="300"/>
              <w:jc w:val="left"/>
              <w:rPr>
                <w:rFonts w:ascii="宋体" w:cs="Times New Roman" w:hAnsi="宋体"/>
                <w:bCs/>
                <w:iCs/>
                <w:color w:val="000000"/>
                <w:kern w:val="0"/>
                <w:sz w:val="24"/>
                <w:szCs w:val="24"/>
              </w:rPr>
            </w:pPr>
            <w:r>
              <w:rPr>
                <w:rFonts w:ascii="宋体" w:cs="Times New Roman" w:hAnsi="宋体"/>
                <w:bCs/>
                <w:iCs/>
                <w:color w:val="000000"/>
                <w:kern w:val="0"/>
                <w:sz w:val="24"/>
                <w:szCs w:val="24"/>
              </w:rPr>
              <w:t>上海证券交易所</w:t>
            </w:r>
            <w:r>
              <w:rPr>
                <w:rFonts w:ascii="宋体" w:cs="Times New Roman" w:hAnsi="宋体"/>
                <w:bCs/>
                <w:iCs/>
                <w:color w:val="000000"/>
                <w:kern w:val="0"/>
                <w:sz w:val="24"/>
                <w:szCs w:val="24"/>
              </w:rPr>
              <w:t>上证路演</w:t>
            </w:r>
            <w:r>
              <w:rPr>
                <w:rFonts w:ascii="宋体" w:cs="Times New Roman" w:hAnsi="宋体"/>
                <w:bCs/>
                <w:iCs/>
                <w:color w:val="000000"/>
                <w:kern w:val="0"/>
                <w:sz w:val="24"/>
                <w:szCs w:val="24"/>
              </w:rPr>
              <w:t>中心</w:t>
            </w:r>
          </w:p>
          <w:p>
            <w:pPr>
              <w:pStyle w:val="style0"/>
              <w:snapToGrid w:val="false"/>
              <w:spacing w:lineRule="auto" w:line="300"/>
              <w:jc w:val="left"/>
              <w:rPr>
                <w:rFonts w:ascii="宋体" w:cs="Times New Roman" w:hAnsi="宋体"/>
                <w:bCs/>
                <w:iCs/>
                <w:color w:val="000000"/>
                <w:kern w:val="0"/>
                <w:sz w:val="24"/>
                <w:szCs w:val="24"/>
              </w:rPr>
            </w:pPr>
            <w:r>
              <w:rPr>
                <w:rFonts w:ascii="宋体" w:cs="Times New Roman" w:hAnsi="宋体"/>
                <w:bCs/>
                <w:iCs/>
                <w:color w:val="000000"/>
                <w:kern w:val="0"/>
                <w:sz w:val="24"/>
                <w:szCs w:val="24"/>
              </w:rPr>
              <w:t>（网址：http://roadshow.sseinfo.com/）</w:t>
            </w:r>
          </w:p>
        </w:tc>
      </w:tr>
      <w:tr>
        <w:tblPrEx/>
        <w:trPr/>
        <w:tc>
          <w:tcPr>
            <w:tcW w:w="1731" w:type="dxa"/>
            <w:tcBorders/>
            <w:shd w:val="clear" w:color="auto" w:fill="auto"/>
          </w:tcPr>
          <w:p>
            <w:pPr>
              <w:pStyle w:val="style0"/>
              <w:snapToGrid w:val="false"/>
              <w:spacing w:lineRule="auto" w:line="300"/>
              <w:jc w:val="left"/>
              <w:rPr>
                <w:rFonts w:ascii="宋体" w:cs="Times New Roman" w:hAnsi="宋体"/>
                <w:bCs/>
                <w:iCs/>
                <w:color w:val="000000"/>
                <w:kern w:val="0"/>
                <w:sz w:val="24"/>
                <w:szCs w:val="24"/>
              </w:rPr>
            </w:pPr>
            <w:r>
              <w:rPr>
                <w:rFonts w:ascii="宋体" w:cs="Times New Roman" w:hAnsi="宋体"/>
                <w:bCs/>
                <w:iCs/>
                <w:color w:val="000000"/>
                <w:kern w:val="0"/>
                <w:sz w:val="24"/>
                <w:szCs w:val="24"/>
              </w:rPr>
              <w:t>上市公司接待人员姓名</w:t>
            </w:r>
          </w:p>
        </w:tc>
        <w:tc>
          <w:tcPr>
            <w:tcW w:w="7796" w:type="dxa"/>
            <w:tcBorders/>
            <w:shd w:val="clear" w:color="auto" w:fill="auto"/>
          </w:tcPr>
          <w:p>
            <w:pPr>
              <w:pStyle w:val="style0"/>
              <w:snapToGrid w:val="false"/>
              <w:spacing w:lineRule="auto" w:line="300"/>
              <w:jc w:val="left"/>
              <w:rPr>
                <w:rFonts w:ascii="宋体" w:cs="Times New Roman" w:hAnsi="宋体"/>
                <w:bCs/>
                <w:iCs/>
                <w:color w:val="000000"/>
                <w:kern w:val="0"/>
                <w:sz w:val="24"/>
                <w:szCs w:val="24"/>
              </w:rPr>
            </w:pPr>
            <w:r>
              <w:rPr>
                <w:rFonts w:ascii="宋体" w:cs="Times New Roman" w:hAnsi="宋体"/>
                <w:bCs/>
                <w:iCs/>
                <w:color w:val="000000"/>
                <w:kern w:val="0"/>
                <w:sz w:val="24"/>
                <w:szCs w:val="24"/>
              </w:rPr>
              <w:t>董事、总经理：</w:t>
            </w:r>
            <w:r>
              <w:rPr>
                <w:rFonts w:ascii="宋体" w:cs="Times New Roman" w:hAnsi="宋体" w:hint="eastAsia"/>
                <w:bCs/>
                <w:iCs/>
                <w:color w:val="000000"/>
                <w:kern w:val="0"/>
                <w:sz w:val="24"/>
                <w:szCs w:val="24"/>
              </w:rPr>
              <w:t>王峥</w:t>
            </w:r>
            <w:r>
              <w:rPr>
                <w:rFonts w:ascii="宋体" w:cs="Times New Roman" w:hAnsi="宋体" w:hint="eastAsia"/>
                <w:bCs/>
                <w:iCs/>
                <w:color w:val="000000"/>
                <w:kern w:val="0"/>
                <w:sz w:val="24"/>
                <w:szCs w:val="24"/>
              </w:rPr>
              <w:t>；</w:t>
            </w:r>
            <w:r>
              <w:rPr>
                <w:rFonts w:ascii="宋体" w:cs="Times New Roman" w:hAnsi="宋体"/>
                <w:bCs/>
                <w:iCs/>
                <w:color w:val="000000"/>
                <w:kern w:val="0"/>
                <w:sz w:val="24"/>
                <w:szCs w:val="24"/>
              </w:rPr>
              <w:t>独立董事：</w:t>
            </w:r>
            <w:r>
              <w:rPr>
                <w:rFonts w:ascii="宋体" w:cs="Times New Roman" w:hAnsi="宋体" w:hint="eastAsia"/>
                <w:bCs/>
                <w:iCs/>
                <w:color w:val="000000"/>
                <w:kern w:val="0"/>
                <w:sz w:val="24"/>
                <w:szCs w:val="24"/>
              </w:rPr>
              <w:t>于永生</w:t>
            </w:r>
            <w:r>
              <w:rPr>
                <w:rFonts w:ascii="宋体" w:cs="Times New Roman" w:hAnsi="宋体" w:hint="eastAsia"/>
                <w:bCs/>
                <w:iCs/>
                <w:color w:val="000000"/>
                <w:kern w:val="0"/>
                <w:sz w:val="24"/>
                <w:szCs w:val="24"/>
              </w:rPr>
              <w:t>；</w:t>
            </w:r>
            <w:r>
              <w:rPr>
                <w:rFonts w:ascii="宋体" w:cs="Times New Roman" w:hAnsi="宋体" w:hint="eastAsia"/>
                <w:bCs/>
                <w:iCs/>
                <w:color w:val="000000"/>
                <w:kern w:val="0"/>
                <w:sz w:val="24"/>
                <w:szCs w:val="24"/>
              </w:rPr>
              <w:t>独立董事：潘士远</w:t>
            </w:r>
            <w:r>
              <w:rPr>
                <w:rFonts w:ascii="宋体" w:cs="Times New Roman" w:hAnsi="宋体" w:hint="eastAsia"/>
                <w:bCs/>
                <w:iCs/>
                <w:color w:val="000000"/>
                <w:kern w:val="0"/>
                <w:sz w:val="24"/>
                <w:szCs w:val="24"/>
              </w:rPr>
              <w:t>；</w:t>
            </w:r>
            <w:r>
              <w:rPr>
                <w:rFonts w:ascii="宋体" w:cs="Times New Roman" w:hAnsi="宋体"/>
                <w:bCs/>
                <w:iCs/>
                <w:color w:val="000000"/>
                <w:kern w:val="0"/>
                <w:sz w:val="24"/>
                <w:szCs w:val="24"/>
              </w:rPr>
              <w:t>副总经理：</w:t>
            </w:r>
            <w:r>
              <w:rPr>
                <w:rFonts w:ascii="宋体" w:cs="Times New Roman" w:hAnsi="宋体" w:hint="eastAsia"/>
                <w:bCs/>
                <w:iCs/>
                <w:color w:val="000000"/>
                <w:kern w:val="0"/>
                <w:sz w:val="24"/>
                <w:szCs w:val="24"/>
              </w:rPr>
              <w:t>洪其虎</w:t>
            </w:r>
            <w:r>
              <w:rPr>
                <w:rFonts w:ascii="宋体" w:cs="Times New Roman" w:hAnsi="宋体" w:hint="eastAsia"/>
                <w:bCs/>
                <w:iCs/>
                <w:color w:val="000000"/>
                <w:kern w:val="0"/>
                <w:sz w:val="24"/>
                <w:szCs w:val="24"/>
              </w:rPr>
              <w:t>；</w:t>
            </w:r>
            <w:r>
              <w:rPr>
                <w:rFonts w:ascii="宋体" w:cs="Times New Roman" w:hAnsi="宋体" w:hint="eastAsia"/>
                <w:bCs/>
                <w:iCs/>
                <w:color w:val="000000"/>
                <w:kern w:val="0"/>
                <w:sz w:val="24"/>
                <w:szCs w:val="24"/>
              </w:rPr>
              <w:t>董事会秘书：蒋伟</w:t>
            </w:r>
            <w:r>
              <w:rPr>
                <w:rFonts w:ascii="宋体" w:cs="Times New Roman" w:hAnsi="宋体" w:hint="eastAsia"/>
                <w:bCs/>
                <w:iCs/>
                <w:color w:val="000000"/>
                <w:kern w:val="0"/>
                <w:sz w:val="24"/>
                <w:szCs w:val="24"/>
              </w:rPr>
              <w:t>；</w:t>
            </w:r>
            <w:r>
              <w:rPr>
                <w:rFonts w:ascii="宋体" w:cs="Times New Roman" w:hAnsi="宋体" w:hint="eastAsia"/>
                <w:bCs/>
                <w:iCs/>
                <w:color w:val="000000"/>
                <w:kern w:val="0"/>
                <w:sz w:val="24"/>
                <w:szCs w:val="24"/>
              </w:rPr>
              <w:t>财务部部长：贺琦</w:t>
            </w:r>
            <w:r>
              <w:rPr>
                <w:rFonts w:ascii="宋体" w:cs="Times New Roman" w:hAnsi="宋体" w:hint="eastAsia"/>
                <w:bCs/>
                <w:iCs/>
                <w:color w:val="000000"/>
                <w:kern w:val="0"/>
                <w:sz w:val="24"/>
                <w:szCs w:val="24"/>
              </w:rPr>
              <w:t>；</w:t>
            </w:r>
            <w:r>
              <w:rPr>
                <w:rFonts w:ascii="宋体" w:cs="Times New Roman" w:hAnsi="宋体" w:hint="eastAsia"/>
                <w:bCs/>
                <w:iCs/>
                <w:color w:val="000000"/>
                <w:kern w:val="0"/>
                <w:sz w:val="24"/>
                <w:szCs w:val="24"/>
              </w:rPr>
              <w:t>业务部副部长：王科</w:t>
            </w:r>
          </w:p>
        </w:tc>
      </w:tr>
      <w:tr>
        <w:tblPrEx/>
        <w:trPr>
          <w:trHeight w:val="2701" w:hRule="atLeast"/>
        </w:trPr>
        <w:tc>
          <w:tcPr>
            <w:tcW w:w="1731" w:type="dxa"/>
            <w:tcBorders/>
            <w:shd w:val="clear" w:color="auto" w:fill="auto"/>
            <w:vAlign w:val="center"/>
          </w:tcPr>
          <w:p>
            <w:pPr>
              <w:pStyle w:val="style0"/>
              <w:snapToGrid w:val="false"/>
              <w:spacing w:lineRule="auto" w:line="300"/>
              <w:jc w:val="left"/>
              <w:rPr>
                <w:rFonts w:ascii="宋体" w:cs="Times New Roman" w:hAnsi="宋体"/>
                <w:bCs/>
                <w:iCs/>
                <w:color w:val="000000"/>
                <w:kern w:val="0"/>
                <w:sz w:val="24"/>
                <w:szCs w:val="24"/>
              </w:rPr>
            </w:pPr>
            <w:r>
              <w:rPr>
                <w:rFonts w:ascii="宋体" w:cs="Times New Roman" w:hAnsi="宋体"/>
                <w:bCs/>
                <w:iCs/>
                <w:color w:val="000000"/>
                <w:kern w:val="0"/>
                <w:sz w:val="24"/>
                <w:szCs w:val="24"/>
              </w:rPr>
              <w:t>投资者关系活动主要内容介绍</w:t>
            </w:r>
          </w:p>
        </w:tc>
        <w:tc>
          <w:tcPr>
            <w:tcW w:w="7796" w:type="dxa"/>
            <w:tcBorders/>
            <w:shd w:val="clear" w:color="auto" w:fill="auto"/>
          </w:tcPr>
          <w:p>
            <w:pPr>
              <w:pStyle w:val="style4102"/>
              <w:spacing w:lineRule="auto" w:line="300"/>
              <w:rPr>
                <w:rFonts w:ascii="宋体" w:eastAsia="宋体" w:hAnsi="宋体"/>
                <w:szCs w:val="24"/>
              </w:rPr>
            </w:pPr>
            <w:r>
              <w:rPr>
                <w:rFonts w:ascii="宋体" w:eastAsia="宋体" w:hAnsi="宋体"/>
                <w:szCs w:val="24"/>
              </w:rPr>
              <w:t>交流内容主要如下：</w:t>
            </w:r>
          </w:p>
          <w:p>
            <w:pPr>
              <w:pStyle w:val="style4102"/>
              <w:spacing w:lineRule="auto" w:line="300"/>
              <w:rPr>
                <w:rFonts w:ascii="宋体" w:eastAsia="宋体" w:hAnsi="宋体"/>
                <w:szCs w:val="24"/>
              </w:rPr>
            </w:pPr>
            <w:r>
              <w:rPr>
                <w:rFonts w:ascii="宋体" w:eastAsia="宋体" w:hAnsi="宋体"/>
                <w:szCs w:val="24"/>
              </w:rPr>
              <w:t>1.</w:t>
            </w:r>
            <w:r>
              <w:rPr>
                <w:rFonts w:ascii="宋体" w:eastAsia="宋体" w:hAnsi="宋体"/>
                <w:szCs w:val="24"/>
              </w:rPr>
              <w:t>政策角度而言公司存在哪些利好？</w:t>
            </w:r>
          </w:p>
          <w:p>
            <w:pPr>
              <w:pStyle w:val="style4102"/>
              <w:spacing w:lineRule="auto" w:line="300"/>
              <w:rPr>
                <w:rFonts w:ascii="宋体" w:eastAsia="宋体" w:hAnsi="宋体"/>
                <w:szCs w:val="24"/>
              </w:rPr>
            </w:pPr>
            <w:r>
              <w:rPr>
                <w:rFonts w:ascii="宋体" w:eastAsia="宋体" w:hAnsi="宋体" w:hint="eastAsia"/>
                <w:szCs w:val="24"/>
              </w:rPr>
              <w:t>答：</w:t>
            </w:r>
            <w:r>
              <w:rPr>
                <w:rFonts w:ascii="宋体" w:eastAsia="宋体" w:hAnsi="宋体"/>
                <w:szCs w:val="24"/>
              </w:rPr>
              <w:t>您好！“一带一路”“长江经济带”“交通强国”“海洋强国”等国家战略的实施，进一步拓宽了港口中长期发展空间。浙江共同富裕示范区、浙江自贸试验区、</w:t>
            </w:r>
            <w:r>
              <w:rPr>
                <w:rFonts w:ascii="宋体" w:eastAsia="宋体" w:hAnsi="宋体" w:hint="eastAsia"/>
                <w:szCs w:val="24"/>
                <w:lang w:eastAsia="zh-CN"/>
              </w:rPr>
              <w:t>浙江省世界一流强港建设工程</w:t>
            </w:r>
            <w:r>
              <w:rPr>
                <w:rFonts w:ascii="宋体" w:eastAsia="宋体" w:hAnsi="宋体"/>
                <w:szCs w:val="24"/>
              </w:rPr>
              <w:t>，为公司可持续、高质量发展带来新机遇和长期利好。感谢您的关注！</w:t>
            </w:r>
          </w:p>
          <w:p>
            <w:pPr>
              <w:pStyle w:val="style4102"/>
              <w:spacing w:lineRule="auto" w:line="300"/>
              <w:rPr>
                <w:rFonts w:ascii="宋体" w:eastAsia="宋体" w:hAnsi="宋体"/>
                <w:szCs w:val="24"/>
              </w:rPr>
            </w:pPr>
            <w:r>
              <w:rPr>
                <w:rFonts w:ascii="宋体" w:eastAsia="宋体" w:hAnsi="宋体" w:hint="eastAsia"/>
                <w:szCs w:val="24"/>
              </w:rPr>
              <w:t>2</w:t>
            </w:r>
            <w:r>
              <w:rPr>
                <w:rFonts w:ascii="宋体" w:eastAsia="宋体" w:hAnsi="宋体"/>
                <w:szCs w:val="24"/>
              </w:rPr>
              <w:t>.</w:t>
            </w:r>
            <w:r>
              <w:rPr>
                <w:rFonts w:ascii="宋体" w:eastAsia="宋体" w:hAnsi="宋体"/>
                <w:szCs w:val="24"/>
              </w:rPr>
              <w:t>四季度业务量是否继续延续增长趋势？</w:t>
            </w:r>
          </w:p>
          <w:p>
            <w:pPr>
              <w:pStyle w:val="style4102"/>
              <w:spacing w:lineRule="auto" w:line="300"/>
              <w:rPr>
                <w:rFonts w:ascii="宋体" w:eastAsia="宋体" w:hAnsi="宋体"/>
                <w:szCs w:val="24"/>
              </w:rPr>
            </w:pPr>
            <w:r>
              <w:rPr>
                <w:rFonts w:ascii="宋体" w:eastAsia="宋体" w:hAnsi="宋体" w:hint="eastAsia"/>
                <w:szCs w:val="24"/>
              </w:rPr>
              <w:t>答：</w:t>
            </w:r>
            <w:r>
              <w:rPr>
                <w:rFonts w:ascii="宋体" w:eastAsia="宋体" w:hAnsi="宋体"/>
                <w:szCs w:val="24"/>
              </w:rPr>
              <w:t>您好！根据初步统计，2024年10月份公司完成集装箱吞吐量406万标准箱，同比增长12.6%；完成货物吞吐量9461万吨，同比增长0.1%。进入第四季度，全球经济面临的挑战仍然较大，欧美市场需求放缓、美国等发达经济体货币政策路径不明、地缘政治局</w:t>
            </w:r>
            <w:r>
              <w:rPr>
                <w:rFonts w:ascii="宋体" w:eastAsia="宋体" w:hAnsi="宋体"/>
                <w:szCs w:val="24"/>
              </w:rPr>
              <w:t>势持续</w:t>
            </w:r>
            <w:r>
              <w:rPr>
                <w:rFonts w:ascii="宋体" w:eastAsia="宋体" w:hAnsi="宋体"/>
                <w:szCs w:val="24"/>
              </w:rPr>
              <w:t>紧张、高利率高债务持续等因素对全球经贸形势带来诸多不确定因素。四季度具体业务情况请关注公司后续披露的公告。感谢您的关注！</w:t>
            </w:r>
          </w:p>
          <w:p>
            <w:pPr>
              <w:pStyle w:val="style4102"/>
              <w:spacing w:lineRule="auto" w:line="300"/>
              <w:rPr>
                <w:rFonts w:ascii="宋体" w:eastAsia="宋体" w:hAnsi="宋体"/>
                <w:szCs w:val="24"/>
              </w:rPr>
            </w:pPr>
            <w:r>
              <w:rPr>
                <w:rFonts w:ascii="宋体" w:eastAsia="宋体" w:hAnsi="宋体" w:hint="eastAsia"/>
                <w:szCs w:val="24"/>
              </w:rPr>
              <w:t>3</w:t>
            </w:r>
            <w:r>
              <w:rPr>
                <w:rFonts w:ascii="宋体" w:eastAsia="宋体" w:hAnsi="宋体"/>
                <w:szCs w:val="24"/>
              </w:rPr>
              <w:t>.</w:t>
            </w:r>
            <w:r>
              <w:rPr>
                <w:rFonts w:ascii="宋体" w:eastAsia="宋体" w:hAnsi="宋体"/>
                <w:szCs w:val="24"/>
              </w:rPr>
              <w:t>公司在服务能力方面具备何种优势？</w:t>
            </w:r>
          </w:p>
          <w:p>
            <w:pPr>
              <w:pStyle w:val="style4102"/>
              <w:spacing w:lineRule="auto" w:line="300"/>
              <w:rPr>
                <w:rFonts w:ascii="宋体" w:eastAsia="宋体" w:hAnsi="宋体"/>
                <w:szCs w:val="24"/>
              </w:rPr>
            </w:pPr>
            <w:r>
              <w:rPr>
                <w:rFonts w:ascii="宋体" w:eastAsia="宋体" w:hAnsi="宋体" w:hint="eastAsia"/>
                <w:szCs w:val="24"/>
              </w:rPr>
              <w:t>答：</w:t>
            </w:r>
            <w:r>
              <w:rPr>
                <w:rFonts w:ascii="宋体" w:eastAsia="宋体" w:hAnsi="宋体"/>
                <w:szCs w:val="24"/>
              </w:rPr>
              <w:t>您好！公司是全国最大的码头运营商之一，宁波舟山港是我国最大的国际贸易主枢纽港之一，地理位置优越、自然条件得天独厚、腹地经济发达，具备各主要货种全球最大船型的靠泊能力，拥有完备的综合货物处理体系及配套设施，货物吞吐量和集装箱吞吐量持续保持全球港口前列，码头服务效率保持全球港口领先水平。同时全省港口生产一体化运营能力持续提升，一体化“龙头带动、两翼齐飞”效应持续释放，实现了更大格局、更好环境、更强合力、更高水平的高质量一体化发展。感谢您的关注！</w:t>
            </w:r>
          </w:p>
          <w:p>
            <w:pPr>
              <w:pStyle w:val="style4102"/>
              <w:spacing w:lineRule="auto" w:line="300"/>
              <w:rPr>
                <w:rFonts w:ascii="宋体" w:eastAsia="宋体" w:hAnsi="宋体"/>
                <w:szCs w:val="24"/>
              </w:rPr>
            </w:pPr>
            <w:r>
              <w:rPr>
                <w:rFonts w:ascii="宋体" w:eastAsia="宋体" w:hAnsi="宋体" w:hint="eastAsia"/>
                <w:szCs w:val="24"/>
              </w:rPr>
              <w:t>4</w:t>
            </w:r>
            <w:r>
              <w:rPr>
                <w:rFonts w:ascii="宋体" w:eastAsia="宋体" w:hAnsi="宋体"/>
                <w:szCs w:val="24"/>
              </w:rPr>
              <w:t>.</w:t>
            </w:r>
            <w:r>
              <w:rPr>
                <w:rFonts w:ascii="宋体" w:eastAsia="宋体" w:hAnsi="宋体"/>
                <w:szCs w:val="24"/>
              </w:rPr>
              <w:t>能否介绍下六横港区佛渡作业区一期工程项目。</w:t>
            </w:r>
          </w:p>
          <w:p>
            <w:pPr>
              <w:pStyle w:val="style4102"/>
              <w:spacing w:lineRule="auto" w:line="300"/>
              <w:rPr>
                <w:rFonts w:ascii="宋体" w:eastAsia="宋体" w:hAnsi="宋体"/>
                <w:szCs w:val="24"/>
              </w:rPr>
            </w:pPr>
            <w:r>
              <w:rPr>
                <w:rFonts w:ascii="宋体" w:eastAsia="宋体" w:hAnsi="宋体" w:hint="eastAsia"/>
                <w:szCs w:val="24"/>
              </w:rPr>
              <w:t>答：</w:t>
            </w:r>
            <w:r>
              <w:rPr>
                <w:rFonts w:ascii="宋体" w:eastAsia="宋体" w:hAnsi="宋体"/>
                <w:szCs w:val="24"/>
              </w:rPr>
              <w:t>您好！根据浙江省政府印发的《世界一流强港建设工程实施方案（2023-2027年）》，宁波</w:t>
            </w:r>
            <w:r>
              <w:rPr>
                <w:rFonts w:ascii="宋体" w:eastAsia="宋体" w:hAnsi="宋体"/>
                <w:szCs w:val="24"/>
              </w:rPr>
              <w:t>舟山港六横</w:t>
            </w:r>
            <w:r>
              <w:rPr>
                <w:rFonts w:ascii="宋体" w:eastAsia="宋体" w:hAnsi="宋体"/>
                <w:szCs w:val="24"/>
              </w:rPr>
              <w:t>港区佛渡作业区一期工程是世界</w:t>
            </w:r>
            <w:r>
              <w:rPr>
                <w:rFonts w:ascii="宋体" w:eastAsia="宋体" w:hAnsi="宋体"/>
                <w:szCs w:val="24"/>
              </w:rPr>
              <w:t>一流强港建设</w:t>
            </w:r>
            <w:r>
              <w:rPr>
                <w:rFonts w:ascii="宋体" w:eastAsia="宋体" w:hAnsi="宋体"/>
                <w:szCs w:val="24"/>
              </w:rPr>
              <w:t>十大标志性项目的重要组成部分，公司以全资子公司浙江海港佛渡集装箱码头有限公司为项目实施主体，投资建设佛渡一期工程，拟建设2个20万吨级集装箱船停靠泊位，最大可靠泊2.4万TEU 集装箱船，水工结构按展望船型 3.2万TEU集装箱船设计，设计年集装箱吞吐量200万TEU，设计年集装箱通过能力200万TEU，本工程投资概算约为人民币65亿元（最终金额以实际批复为准）。感谢您的关注！</w:t>
            </w:r>
          </w:p>
          <w:p>
            <w:pPr>
              <w:pStyle w:val="style4102"/>
              <w:spacing w:lineRule="auto" w:line="300"/>
              <w:rPr>
                <w:rFonts w:ascii="宋体" w:eastAsia="宋体" w:hAnsi="宋体"/>
                <w:szCs w:val="24"/>
              </w:rPr>
            </w:pPr>
            <w:r>
              <w:rPr>
                <w:rFonts w:ascii="宋体" w:eastAsia="宋体" w:hAnsi="宋体" w:hint="eastAsia"/>
                <w:szCs w:val="24"/>
              </w:rPr>
              <w:t>5</w:t>
            </w:r>
            <w:r>
              <w:rPr>
                <w:rFonts w:ascii="宋体" w:eastAsia="宋体" w:hAnsi="宋体"/>
                <w:szCs w:val="24"/>
              </w:rPr>
              <w:t>.</w:t>
            </w:r>
            <w:r>
              <w:rPr>
                <w:rFonts w:ascii="宋体" w:eastAsia="宋体" w:hAnsi="宋体"/>
                <w:szCs w:val="24"/>
              </w:rPr>
              <w:t>今年公司港口工程项目建设工作推进情况如何？</w:t>
            </w:r>
          </w:p>
          <w:p>
            <w:pPr>
              <w:pStyle w:val="style4102"/>
              <w:spacing w:lineRule="auto" w:line="300"/>
              <w:rPr>
                <w:rFonts w:ascii="宋体" w:eastAsia="宋体" w:hAnsi="宋体"/>
                <w:szCs w:val="24"/>
              </w:rPr>
            </w:pPr>
            <w:r>
              <w:rPr>
                <w:rFonts w:ascii="宋体" w:eastAsia="宋体" w:hAnsi="宋体" w:hint="eastAsia"/>
                <w:szCs w:val="24"/>
              </w:rPr>
              <w:t>答：</w:t>
            </w:r>
            <w:r>
              <w:rPr>
                <w:rFonts w:ascii="宋体" w:eastAsia="宋体" w:hAnsi="宋体"/>
                <w:szCs w:val="24"/>
              </w:rPr>
              <w:t>您好！今年以来公司港口工程建设提速加力，其中，位于舟山北部的</w:t>
            </w:r>
            <w:r>
              <w:rPr>
                <w:rFonts w:ascii="宋体" w:eastAsia="宋体" w:hAnsi="宋体"/>
                <w:szCs w:val="24"/>
              </w:rPr>
              <w:t>鼠浪湖</w:t>
            </w:r>
            <w:r>
              <w:rPr>
                <w:rFonts w:ascii="宋体" w:eastAsia="宋体" w:hAnsi="宋体"/>
                <w:szCs w:val="24"/>
              </w:rPr>
              <w:t>公司矿石码头卸船泊位延伸工程等项目完成竣工验收，北仑矿石公司中宅自动化混配矿项目、北仑山多用途码头 9-13#堆场改造工程通过交工验收；</w:t>
            </w:r>
            <w:r>
              <w:rPr>
                <w:rFonts w:ascii="宋体" w:eastAsia="宋体" w:hAnsi="宋体"/>
                <w:szCs w:val="24"/>
              </w:rPr>
              <w:t>舟山金</w:t>
            </w:r>
            <w:r>
              <w:rPr>
                <w:rFonts w:ascii="宋体" w:eastAsia="宋体" w:hAnsi="宋体"/>
                <w:szCs w:val="24"/>
              </w:rPr>
              <w:t>塘大浦口码头能力提升工程主体、温州港乐清湾 C 区 3#泊位、状元</w:t>
            </w:r>
            <w:r>
              <w:rPr>
                <w:rFonts w:ascii="宋体" w:eastAsia="宋体" w:hAnsi="宋体"/>
                <w:szCs w:val="24"/>
              </w:rPr>
              <w:t>岙</w:t>
            </w:r>
            <w:r>
              <w:rPr>
                <w:rFonts w:ascii="宋体" w:eastAsia="宋体" w:hAnsi="宋体"/>
                <w:szCs w:val="24"/>
              </w:rPr>
              <w:t>二期 5-6#泊位建设完成，上述码头工程建设使公司港口硬件能力进一步提升。 感谢您的关注！</w:t>
            </w:r>
          </w:p>
          <w:p>
            <w:pPr>
              <w:pStyle w:val="style4102"/>
              <w:spacing w:lineRule="auto" w:line="300"/>
              <w:rPr>
                <w:rFonts w:ascii="宋体" w:eastAsia="宋体" w:hAnsi="宋体"/>
                <w:szCs w:val="24"/>
              </w:rPr>
            </w:pPr>
            <w:r>
              <w:rPr>
                <w:rFonts w:ascii="宋体" w:eastAsia="宋体" w:hAnsi="宋体" w:hint="eastAsia"/>
                <w:szCs w:val="24"/>
              </w:rPr>
              <w:t>6</w:t>
            </w:r>
            <w:r>
              <w:rPr>
                <w:rFonts w:ascii="宋体" w:eastAsia="宋体" w:hAnsi="宋体"/>
                <w:szCs w:val="24"/>
              </w:rPr>
              <w:t>.</w:t>
            </w:r>
            <w:r>
              <w:rPr>
                <w:rFonts w:ascii="宋体" w:eastAsia="宋体" w:hAnsi="宋体"/>
                <w:szCs w:val="24"/>
              </w:rPr>
              <w:t>公司智慧港口建设今年有何进展？带来了哪些具体效益的提升？</w:t>
            </w:r>
          </w:p>
          <w:p>
            <w:pPr>
              <w:pStyle w:val="style4102"/>
              <w:spacing w:lineRule="auto" w:line="300"/>
              <w:rPr>
                <w:rFonts w:ascii="宋体" w:eastAsia="宋体" w:hAnsi="宋体"/>
                <w:szCs w:val="24"/>
              </w:rPr>
            </w:pPr>
            <w:r>
              <w:rPr>
                <w:rFonts w:ascii="宋体" w:eastAsia="宋体" w:hAnsi="宋体" w:hint="eastAsia"/>
                <w:szCs w:val="24"/>
              </w:rPr>
              <w:t>答：</w:t>
            </w:r>
            <w:r>
              <w:rPr>
                <w:rFonts w:ascii="宋体" w:eastAsia="宋体" w:hAnsi="宋体"/>
                <w:szCs w:val="24"/>
              </w:rPr>
              <w:t>您好！公司“2+1”智慧码头建设成效显著，下属的梅东公司建成全球最大</w:t>
            </w:r>
            <w:r>
              <w:rPr>
                <w:rFonts w:ascii="宋体" w:eastAsia="宋体" w:hAnsi="宋体"/>
                <w:szCs w:val="24"/>
              </w:rPr>
              <w:t>规模远控自动化</w:t>
            </w:r>
            <w:r>
              <w:rPr>
                <w:rFonts w:ascii="宋体" w:eastAsia="宋体" w:hAnsi="宋体"/>
                <w:szCs w:val="24"/>
              </w:rPr>
              <w:t>设备集群，实现超千万级自动化集装箱码头混线作业；</w:t>
            </w:r>
            <w:r>
              <w:rPr>
                <w:rFonts w:ascii="宋体" w:eastAsia="宋体" w:hAnsi="宋体"/>
                <w:szCs w:val="24"/>
              </w:rPr>
              <w:t>甬舟公司</w:t>
            </w:r>
            <w:r>
              <w:rPr>
                <w:rFonts w:ascii="宋体" w:eastAsia="宋体" w:hAnsi="宋体"/>
                <w:szCs w:val="24"/>
              </w:rPr>
              <w:t>实现全流程自动化运行模式和无人集卡常态化作业；</w:t>
            </w:r>
            <w:r>
              <w:rPr>
                <w:rFonts w:ascii="宋体" w:eastAsia="宋体" w:hAnsi="宋体"/>
                <w:szCs w:val="24"/>
              </w:rPr>
              <w:t>鼠浪湖</w:t>
            </w:r>
            <w:r>
              <w:rPr>
                <w:rFonts w:ascii="宋体" w:eastAsia="宋体" w:hAnsi="宋体"/>
                <w:szCs w:val="24"/>
              </w:rPr>
              <w:t>公司建成全球唯一双40万吨级离岛作业自动化散货码头。公司持续推进绿色港口建设，提升大型机械清洁能源使用比例，完善港口岸电设施建设，集装箱码头已实现了全覆盖，不断加强电能、太阳能、LNG、氢能等清洁能源和新能源的研究和应用，加快淘汰老旧、高排放港口大型作业机械和传统柴油动力设备，以绿色发展促进港口转型升级，环保项目规模和技术水平位居全国港口前列。智慧港口码头和绿色港口建设的不断推进与升</w:t>
            </w:r>
            <w:r>
              <w:rPr>
                <w:rFonts w:ascii="宋体" w:eastAsia="宋体" w:hAnsi="宋体"/>
                <w:szCs w:val="24"/>
              </w:rPr>
              <w:t>级，进一步助推港口生产效益提升，其中，梅东公司1-10月完成集装箱吞吐量939万TEU，同比增长16.5%。感谢您的关注！</w:t>
            </w:r>
          </w:p>
          <w:p>
            <w:pPr>
              <w:pStyle w:val="style4102"/>
              <w:spacing w:lineRule="auto" w:line="300"/>
              <w:rPr>
                <w:rFonts w:ascii="宋体" w:eastAsia="宋体" w:hAnsi="宋体"/>
                <w:szCs w:val="24"/>
              </w:rPr>
            </w:pPr>
            <w:r>
              <w:rPr>
                <w:rFonts w:ascii="宋体" w:eastAsia="宋体" w:hAnsi="宋体" w:hint="eastAsia"/>
                <w:szCs w:val="24"/>
              </w:rPr>
              <w:t>7</w:t>
            </w:r>
            <w:r>
              <w:rPr>
                <w:rFonts w:ascii="宋体" w:eastAsia="宋体" w:hAnsi="宋体"/>
                <w:szCs w:val="24"/>
              </w:rPr>
              <w:t>.</w:t>
            </w:r>
            <w:r>
              <w:rPr>
                <w:rFonts w:ascii="宋体" w:eastAsia="宋体" w:hAnsi="宋体"/>
                <w:szCs w:val="24"/>
              </w:rPr>
              <w:t>公司在产业升级方面做了哪些努力？</w:t>
            </w:r>
          </w:p>
          <w:p>
            <w:pPr>
              <w:pStyle w:val="style4102"/>
              <w:spacing w:lineRule="auto" w:line="300"/>
              <w:rPr>
                <w:rFonts w:ascii="宋体" w:eastAsia="宋体" w:hAnsi="宋体"/>
                <w:szCs w:val="24"/>
              </w:rPr>
            </w:pPr>
            <w:r>
              <w:rPr>
                <w:rFonts w:ascii="宋体" w:eastAsia="宋体" w:hAnsi="宋体" w:hint="eastAsia"/>
                <w:szCs w:val="24"/>
              </w:rPr>
              <w:t>答：</w:t>
            </w:r>
            <w:r>
              <w:rPr>
                <w:rFonts w:ascii="宋体" w:eastAsia="宋体" w:hAnsi="宋体"/>
                <w:szCs w:val="24"/>
              </w:rPr>
              <w:t>您好！公司牢记总书记嘱托，加快港口的科技创新和智能升级，率先开展智慧化码头示范工程建设，全面覆盖港口生产运营各领域，实现传统码头转型升级，打造出全球唯一双40万吨离岛作业自动化散货码头和全球唯一</w:t>
            </w:r>
            <w:r>
              <w:rPr>
                <w:rFonts w:ascii="宋体" w:eastAsia="宋体" w:hAnsi="宋体"/>
                <w:szCs w:val="24"/>
              </w:rPr>
              <w:t>单体超</w:t>
            </w:r>
            <w:r>
              <w:rPr>
                <w:rFonts w:ascii="宋体" w:eastAsia="宋体" w:hAnsi="宋体"/>
                <w:szCs w:val="24"/>
              </w:rPr>
              <w:t>千万</w:t>
            </w:r>
            <w:r>
              <w:rPr>
                <w:rFonts w:ascii="宋体" w:eastAsia="宋体" w:hAnsi="宋体"/>
                <w:szCs w:val="24"/>
              </w:rPr>
              <w:t>标准箱混线</w:t>
            </w:r>
            <w:r>
              <w:rPr>
                <w:rFonts w:ascii="宋体" w:eastAsia="宋体" w:hAnsi="宋体"/>
                <w:szCs w:val="24"/>
              </w:rPr>
              <w:t>作业自动化集装箱码头，加快推动新质生产力在港口落地见效，为我国乃至全球传统码头的转型升级提供可实践、可复制的智慧化样板。今年以来，公司高度重视ESG工作，专门编制并公告了ESG报告中英文版，持续做好环境保护、碳排放、公司治理等各项工作，10月份公司荣获“第十八届中国上市公司价值评选·中国上市公司新质生产力50强”。公司未来将继续加强技术创新与产业升级，培育新质生产力，持续释放发展动能与活力，为推动中国经济高质量发展贡献“硬核”力量。感谢您的关注！</w:t>
            </w:r>
          </w:p>
          <w:p>
            <w:pPr>
              <w:pStyle w:val="style4102"/>
              <w:spacing w:lineRule="auto" w:line="300"/>
              <w:rPr>
                <w:rFonts w:ascii="宋体" w:eastAsia="宋体" w:hAnsi="宋体"/>
                <w:szCs w:val="24"/>
              </w:rPr>
            </w:pPr>
            <w:r>
              <w:rPr>
                <w:rFonts w:ascii="宋体" w:eastAsia="宋体" w:hAnsi="宋体"/>
                <w:szCs w:val="24"/>
              </w:rPr>
              <w:t>8.</w:t>
            </w:r>
            <w:r>
              <w:rPr>
                <w:rFonts w:ascii="宋体" w:eastAsia="宋体" w:hAnsi="宋体"/>
                <w:szCs w:val="24"/>
              </w:rPr>
              <w:t>公司今年前三季度整体经营情况如何？</w:t>
            </w:r>
          </w:p>
          <w:p>
            <w:pPr>
              <w:pStyle w:val="style4102"/>
              <w:spacing w:lineRule="auto" w:line="300"/>
              <w:rPr>
                <w:rFonts w:ascii="宋体" w:eastAsia="宋体" w:hAnsi="宋体"/>
                <w:szCs w:val="24"/>
              </w:rPr>
            </w:pPr>
            <w:r>
              <w:rPr>
                <w:rFonts w:ascii="宋体" w:eastAsia="宋体" w:hAnsi="宋体" w:hint="eastAsia"/>
                <w:szCs w:val="24"/>
              </w:rPr>
              <w:t>答：</w:t>
            </w:r>
            <w:r>
              <w:rPr>
                <w:rFonts w:ascii="宋体" w:eastAsia="宋体" w:hAnsi="宋体"/>
                <w:szCs w:val="24"/>
              </w:rPr>
              <w:t>您好！公司今年以来港口生产持续健康稳定发展，前三季度实现营业收入218.11亿元，同比增长13.50%；归属于母公司股东净利润41.07亿元，同比增长2.02%；扣除非经常性损益后归属母公司股东的净利润32.75亿元，同比增长3.58%；基本每股收益0.21元。感谢您的关注！</w:t>
            </w:r>
          </w:p>
          <w:p>
            <w:pPr>
              <w:pStyle w:val="style4102"/>
              <w:spacing w:lineRule="auto" w:line="300"/>
              <w:rPr>
                <w:rFonts w:ascii="宋体" w:eastAsia="宋体" w:hAnsi="宋体"/>
                <w:szCs w:val="24"/>
              </w:rPr>
            </w:pPr>
            <w:r>
              <w:rPr>
                <w:rFonts w:ascii="宋体" w:eastAsia="宋体" w:hAnsi="宋体"/>
                <w:szCs w:val="24"/>
              </w:rPr>
              <w:t>9.</w:t>
            </w:r>
            <w:r>
              <w:rPr>
                <w:rFonts w:ascii="宋体" w:eastAsia="宋体" w:hAnsi="宋体"/>
                <w:szCs w:val="24"/>
              </w:rPr>
              <w:t>《宁波舟山港总体规划（2035年）》获批对公司意味着什么？</w:t>
            </w:r>
          </w:p>
          <w:p>
            <w:pPr>
              <w:pStyle w:val="style4102"/>
              <w:spacing w:lineRule="auto" w:line="300"/>
              <w:rPr>
                <w:rFonts w:ascii="宋体" w:eastAsia="宋体" w:hAnsi="宋体"/>
                <w:szCs w:val="24"/>
              </w:rPr>
            </w:pPr>
            <w:r>
              <w:rPr>
                <w:rFonts w:ascii="宋体" w:eastAsia="宋体" w:hAnsi="宋体" w:hint="eastAsia"/>
                <w:szCs w:val="24"/>
              </w:rPr>
              <w:t>答：</w:t>
            </w:r>
            <w:r>
              <w:rPr>
                <w:rFonts w:ascii="宋体" w:eastAsia="宋体" w:hAnsi="宋体"/>
                <w:szCs w:val="24"/>
              </w:rPr>
              <w:t>您好！《宁波舟山港总体规划（2035年）》是指导宁波舟山港发展、建设和管理的基本依据。新版总</w:t>
            </w:r>
            <w:r>
              <w:rPr>
                <w:rFonts w:ascii="宋体" w:eastAsia="宋体" w:hAnsi="宋体"/>
                <w:szCs w:val="24"/>
              </w:rPr>
              <w:t>规</w:t>
            </w:r>
            <w:r>
              <w:rPr>
                <w:rFonts w:ascii="宋体" w:eastAsia="宋体" w:hAnsi="宋体"/>
                <w:szCs w:val="24"/>
              </w:rPr>
              <w:t>从服务构建新发展格局、共建“一带一路”、长江经济带和长三角一体化发展的高度出发，集约利用、整合提升宁波舟山港岸线资源，推动港口建设发展由速度规模型向质量效益型转变，持续增强港口综合实力，对于宁波舟山港高质量建设世界一流强港，打造“双循环”战略枢纽，助力浙江海洋强省和高能级开放强省建设具有重大而深远的意义。感谢您的关注！</w:t>
            </w:r>
          </w:p>
          <w:p>
            <w:pPr>
              <w:pStyle w:val="style4102"/>
              <w:spacing w:lineRule="auto" w:line="300"/>
              <w:rPr>
                <w:rFonts w:ascii="宋体" w:eastAsia="宋体" w:hAnsi="宋体"/>
                <w:szCs w:val="24"/>
              </w:rPr>
            </w:pPr>
          </w:p>
          <w:p>
            <w:pPr>
              <w:pStyle w:val="style4102"/>
              <w:spacing w:lineRule="auto" w:line="300"/>
              <w:jc w:val="left"/>
              <w:rPr>
                <w:rFonts w:ascii="宋体" w:eastAsia="宋体" w:hAnsi="宋体"/>
                <w:szCs w:val="24"/>
              </w:rPr>
            </w:pPr>
            <w:r>
              <w:rPr>
                <w:rFonts w:ascii="宋体" w:eastAsia="宋体" w:hAnsi="宋体" w:hint="eastAsia"/>
                <w:szCs w:val="24"/>
              </w:rPr>
              <w:t>注：投资者可以通过</w:t>
            </w:r>
            <w:r>
              <w:rPr>
                <w:rFonts w:ascii="宋体" w:eastAsia="宋体" w:hAnsi="宋体" w:hint="eastAsia"/>
                <w:szCs w:val="24"/>
              </w:rPr>
              <w:t>上证路演</w:t>
            </w:r>
            <w:r>
              <w:rPr>
                <w:rFonts w:ascii="宋体" w:eastAsia="宋体" w:hAnsi="宋体" w:hint="eastAsia"/>
                <w:szCs w:val="24"/>
              </w:rPr>
              <w:t>中心（https://roadshow.sseinfo.com/）查看本次业绩说明会的召开情况及主要内容。</w:t>
            </w:r>
          </w:p>
        </w:tc>
      </w:tr>
      <w:tr>
        <w:tblPrEx/>
        <w:trPr/>
        <w:tc>
          <w:tcPr>
            <w:tcW w:w="1731" w:type="dxa"/>
            <w:tcBorders/>
            <w:shd w:val="clear" w:color="auto" w:fill="auto"/>
            <w:vAlign w:val="center"/>
          </w:tcPr>
          <w:p>
            <w:pPr>
              <w:pStyle w:val="style0"/>
              <w:snapToGrid w:val="false"/>
              <w:spacing w:lineRule="auto" w:line="300"/>
              <w:jc w:val="left"/>
              <w:rPr>
                <w:rFonts w:ascii="宋体" w:cs="Times New Roman" w:hAnsi="宋体"/>
                <w:bCs/>
                <w:iCs/>
                <w:color w:val="000000"/>
                <w:kern w:val="0"/>
                <w:sz w:val="24"/>
                <w:szCs w:val="24"/>
              </w:rPr>
            </w:pPr>
            <w:r>
              <w:rPr>
                <w:rFonts w:ascii="宋体" w:cs="Times New Roman" w:hAnsi="宋体"/>
                <w:bCs/>
                <w:iCs/>
                <w:color w:val="000000"/>
                <w:kern w:val="0"/>
                <w:sz w:val="24"/>
                <w:szCs w:val="24"/>
              </w:rPr>
              <w:t>附件清单（如有）</w:t>
            </w:r>
          </w:p>
        </w:tc>
        <w:tc>
          <w:tcPr>
            <w:tcW w:w="7796" w:type="dxa"/>
            <w:tcBorders/>
            <w:shd w:val="clear" w:color="auto" w:fill="auto"/>
          </w:tcPr>
          <w:p>
            <w:pPr>
              <w:pStyle w:val="style0"/>
              <w:snapToGrid w:val="false"/>
              <w:spacing w:lineRule="auto" w:line="300"/>
              <w:jc w:val="left"/>
              <w:rPr>
                <w:rFonts w:ascii="宋体" w:cs="Times New Roman" w:hAnsi="宋体"/>
                <w:bCs/>
                <w:iCs/>
                <w:color w:val="000000"/>
                <w:kern w:val="0"/>
                <w:sz w:val="24"/>
                <w:szCs w:val="24"/>
              </w:rPr>
            </w:pPr>
            <w:r>
              <w:rPr>
                <w:rFonts w:ascii="宋体" w:cs="Times New Roman" w:hAnsi="宋体"/>
                <w:bCs/>
                <w:iCs/>
                <w:color w:val="000000"/>
                <w:kern w:val="0"/>
                <w:sz w:val="24"/>
                <w:szCs w:val="24"/>
              </w:rPr>
              <w:t>无</w:t>
            </w:r>
          </w:p>
        </w:tc>
      </w:tr>
      <w:tr>
        <w:tblPrEx/>
        <w:trPr/>
        <w:tc>
          <w:tcPr>
            <w:tcW w:w="1731" w:type="dxa"/>
            <w:tcBorders/>
            <w:shd w:val="clear" w:color="auto" w:fill="auto"/>
            <w:vAlign w:val="center"/>
          </w:tcPr>
          <w:p>
            <w:pPr>
              <w:pStyle w:val="style0"/>
              <w:snapToGrid w:val="false"/>
              <w:spacing w:lineRule="auto" w:line="300"/>
              <w:jc w:val="left"/>
              <w:rPr>
                <w:rFonts w:ascii="宋体" w:cs="Times New Roman" w:hAnsi="宋体"/>
                <w:bCs/>
                <w:iCs/>
                <w:color w:val="000000"/>
                <w:kern w:val="0"/>
                <w:sz w:val="24"/>
                <w:szCs w:val="24"/>
              </w:rPr>
            </w:pPr>
            <w:r>
              <w:rPr>
                <w:rFonts w:ascii="宋体" w:cs="Times New Roman" w:hAnsi="宋体"/>
                <w:bCs/>
                <w:iCs/>
                <w:color w:val="000000"/>
                <w:kern w:val="0"/>
                <w:sz w:val="24"/>
                <w:szCs w:val="24"/>
              </w:rPr>
              <w:t>访谈日期</w:t>
            </w:r>
          </w:p>
        </w:tc>
        <w:tc>
          <w:tcPr>
            <w:tcW w:w="7796" w:type="dxa"/>
            <w:tcBorders/>
            <w:shd w:val="clear" w:color="auto" w:fill="auto"/>
            <w:vAlign w:val="center"/>
          </w:tcPr>
          <w:p>
            <w:pPr>
              <w:pStyle w:val="style0"/>
              <w:snapToGrid w:val="false"/>
              <w:spacing w:lineRule="auto" w:line="300"/>
              <w:jc w:val="left"/>
              <w:rPr>
                <w:rFonts w:ascii="宋体" w:cs="Times New Roman" w:hAnsi="宋体"/>
                <w:bCs/>
                <w:iCs/>
                <w:color w:val="000000"/>
                <w:kern w:val="0"/>
                <w:sz w:val="24"/>
                <w:szCs w:val="24"/>
              </w:rPr>
            </w:pPr>
            <w:r>
              <w:rPr>
                <w:rFonts w:ascii="宋体" w:cs="Times New Roman" w:hAnsi="宋体"/>
                <w:bCs/>
                <w:iCs/>
                <w:color w:val="000000"/>
                <w:kern w:val="0"/>
                <w:sz w:val="24"/>
                <w:szCs w:val="24"/>
              </w:rPr>
              <w:t>2024年</w:t>
            </w:r>
            <w:r>
              <w:rPr>
                <w:rFonts w:ascii="宋体" w:cs="Times New Roman" w:hAnsi="宋体"/>
                <w:bCs/>
                <w:iCs/>
                <w:color w:val="000000"/>
                <w:kern w:val="0"/>
                <w:sz w:val="24"/>
                <w:szCs w:val="24"/>
              </w:rPr>
              <w:t>11</w:t>
            </w:r>
            <w:r>
              <w:rPr>
                <w:rFonts w:ascii="宋体" w:cs="Times New Roman" w:hAnsi="宋体"/>
                <w:bCs/>
                <w:iCs/>
                <w:color w:val="000000"/>
                <w:kern w:val="0"/>
                <w:sz w:val="24"/>
                <w:szCs w:val="24"/>
              </w:rPr>
              <w:t>月</w:t>
            </w:r>
            <w:r>
              <w:rPr>
                <w:rFonts w:ascii="宋体" w:cs="Times New Roman" w:hAnsi="宋体" w:hint="eastAsia"/>
                <w:bCs/>
                <w:iCs/>
                <w:color w:val="000000"/>
                <w:kern w:val="0"/>
                <w:sz w:val="24"/>
                <w:szCs w:val="24"/>
              </w:rPr>
              <w:t>2</w:t>
            </w:r>
            <w:r>
              <w:rPr>
                <w:rFonts w:ascii="宋体" w:cs="Times New Roman" w:hAnsi="宋体"/>
                <w:bCs/>
                <w:iCs/>
                <w:color w:val="000000"/>
                <w:kern w:val="0"/>
                <w:sz w:val="24"/>
                <w:szCs w:val="24"/>
              </w:rPr>
              <w:t>0</w:t>
            </w:r>
            <w:r>
              <w:rPr>
                <w:rFonts w:ascii="宋体" w:cs="Times New Roman" w:hAnsi="宋体"/>
                <w:bCs/>
                <w:iCs/>
                <w:color w:val="000000"/>
                <w:kern w:val="0"/>
                <w:sz w:val="24"/>
                <w:szCs w:val="24"/>
              </w:rPr>
              <w:t>日</w:t>
            </w:r>
          </w:p>
        </w:tc>
      </w:tr>
      <w:tr>
        <w:tblPrEx/>
        <w:trPr/>
        <w:tc>
          <w:tcPr>
            <w:tcW w:w="1731" w:type="dxa"/>
            <w:tcBorders/>
            <w:shd w:val="clear" w:color="auto" w:fill="auto"/>
            <w:vAlign w:val="center"/>
          </w:tcPr>
          <w:p>
            <w:pPr>
              <w:pStyle w:val="style0"/>
              <w:snapToGrid w:val="false"/>
              <w:spacing w:lineRule="auto" w:line="300"/>
              <w:jc w:val="left"/>
              <w:rPr>
                <w:rFonts w:ascii="宋体" w:cs="Times New Roman" w:hAnsi="宋体"/>
                <w:bCs/>
                <w:iCs/>
                <w:color w:val="000000"/>
                <w:kern w:val="0"/>
                <w:sz w:val="24"/>
                <w:szCs w:val="24"/>
              </w:rPr>
            </w:pPr>
            <w:r>
              <w:rPr>
                <w:rFonts w:ascii="宋体" w:cs="Times New Roman" w:hAnsi="宋体"/>
                <w:bCs/>
                <w:iCs/>
                <w:color w:val="000000"/>
                <w:kern w:val="0"/>
                <w:sz w:val="24"/>
                <w:szCs w:val="24"/>
              </w:rPr>
              <w:t>备注</w:t>
            </w:r>
          </w:p>
        </w:tc>
        <w:tc>
          <w:tcPr>
            <w:tcW w:w="7796" w:type="dxa"/>
            <w:tcBorders/>
            <w:shd w:val="clear" w:color="auto" w:fill="auto"/>
            <w:vAlign w:val="center"/>
          </w:tcPr>
          <w:p>
            <w:pPr>
              <w:pStyle w:val="style0"/>
              <w:snapToGrid w:val="false"/>
              <w:spacing w:lineRule="auto" w:line="300"/>
              <w:jc w:val="left"/>
              <w:rPr>
                <w:rFonts w:ascii="宋体" w:cs="Times New Roman" w:hAnsi="宋体"/>
                <w:bCs/>
                <w:iCs/>
                <w:color w:val="000000"/>
                <w:kern w:val="0"/>
                <w:sz w:val="24"/>
                <w:szCs w:val="24"/>
              </w:rPr>
            </w:pPr>
            <w:r>
              <w:rPr>
                <w:rFonts w:ascii="宋体" w:cs="Times New Roman" w:hAnsi="宋体"/>
                <w:bCs/>
                <w:iCs/>
                <w:color w:val="000000"/>
                <w:kern w:val="0"/>
                <w:sz w:val="24"/>
                <w:szCs w:val="24"/>
              </w:rPr>
              <w:t>公司与投资者进行了充分的沟通交流，并严格按照有关制度规定，保证信息披露的真实、准确、完整、及时、公平，没有出现未公开重大信息泄露等情况。</w:t>
            </w:r>
          </w:p>
        </w:tc>
      </w:tr>
    </w:tbl>
    <w:p>
      <w:pPr>
        <w:pStyle w:val="style0"/>
        <w:keepNext/>
        <w:keepLines/>
        <w:spacing w:before="260" w:after="260" w:lineRule="auto" w:line="360"/>
        <w:outlineLvl w:val="1"/>
        <w:rPr/>
      </w:pPr>
    </w:p>
    <w:sectPr>
      <w:headerReference w:type="default" r:id="rId2"/>
      <w:pgSz w:w="11906" w:h="16838" w:orient="portrait"/>
      <w:pgMar w:top="1440" w:right="1800" w:bottom="1440" w:left="1800" w:header="964"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lef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widowControl w:val="false"/>
      <w:jc w:val="both"/>
    </w:pPr>
    <w:rPr>
      <w:rFonts w:ascii="Calibri" w:cs="宋体" w:eastAsia="宋体" w:hAnsi="Calibri"/>
      <w:kern w:val="2"/>
      <w:sz w:val="21"/>
      <w:szCs w:val="22"/>
    </w:rPr>
  </w:style>
  <w:style w:type="paragraph" w:styleId="style4">
    <w:name w:val="heading 4"/>
    <w:basedOn w:val="style0"/>
    <w:next w:val="style0"/>
    <w:link w:val="style4104"/>
    <w:qFormat/>
    <w:uiPriority w:val="9"/>
    <w:pPr>
      <w:keepNext/>
      <w:keepLines/>
      <w:spacing w:before="280" w:after="290" w:lineRule="auto" w:line="376"/>
      <w:outlineLvl w:val="3"/>
    </w:pPr>
    <w:rPr>
      <w:rFonts w:ascii="Calibri Light" w:cs="宋体" w:eastAsia="宋体" w:hAnsi="Calibri Light"/>
      <w:b/>
      <w:bCs/>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0">
    <w:name w:val="annotation text"/>
    <w:basedOn w:val="style0"/>
    <w:next w:val="style30"/>
    <w:link w:val="style4099"/>
    <w:qFormat/>
    <w:uiPriority w:val="99"/>
    <w:pPr>
      <w:jc w:val="left"/>
    </w:pPr>
    <w:rPr/>
  </w:style>
  <w:style w:type="paragraph" w:styleId="style153">
    <w:name w:val="Balloon Text"/>
    <w:basedOn w:val="style0"/>
    <w:next w:val="style153"/>
    <w:link w:val="style4101"/>
    <w:qFormat/>
    <w:uiPriority w:val="99"/>
    <w:pPr/>
    <w:rPr>
      <w:sz w:val="18"/>
      <w:szCs w:val="18"/>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101">
    <w:name w:val="HTML Preformatted"/>
    <w:basedOn w:val="style0"/>
    <w:next w:val="style101"/>
    <w:qFormat/>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宋体" w:cs="Times New Roman" w:eastAsia="宋体" w:hAnsi="宋体" w:hint="eastAsia"/>
      <w:kern w:val="0"/>
      <w:sz w:val="24"/>
      <w:szCs w:val="24"/>
    </w:rPr>
  </w:style>
  <w:style w:type="paragraph" w:styleId="style94">
    <w:name w:val="Normal (Web)"/>
    <w:basedOn w:val="style0"/>
    <w:next w:val="style94"/>
    <w:qFormat/>
    <w:uiPriority w:val="99"/>
    <w:pPr/>
    <w:rPr>
      <w:rFonts w:ascii="Times New Roman" w:cs="Times New Roman" w:hAnsi="Times New Roman"/>
      <w:sz w:val="24"/>
      <w:szCs w:val="24"/>
    </w:rPr>
  </w:style>
  <w:style w:type="paragraph" w:styleId="style106">
    <w:name w:val="annotation subject"/>
    <w:basedOn w:val="style30"/>
    <w:next w:val="style30"/>
    <w:link w:val="style4100"/>
    <w:qFormat/>
    <w:uiPriority w:val="99"/>
    <w:pPr/>
    <w:rPr>
      <w:b/>
      <w:bCs/>
    </w:rPr>
  </w:style>
  <w:style w:type="table" w:styleId="style154">
    <w:name w:val="Table Grid"/>
    <w:basedOn w:val="style105"/>
    <w:next w:val="style154"/>
    <w:qFormat/>
    <w:uiPriority w:val="3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styleId="style39">
    <w:name w:val="annotation reference"/>
    <w:basedOn w:val="style65"/>
    <w:next w:val="style39"/>
    <w:qFormat/>
    <w:uiPriority w:val="99"/>
    <w:rPr>
      <w:sz w:val="21"/>
      <w:szCs w:val="21"/>
    </w:rPr>
  </w:style>
  <w:style w:type="character" w:customStyle="1" w:styleId="style4097">
    <w:name w:val="页眉 字符"/>
    <w:basedOn w:val="style65"/>
    <w:next w:val="style4097"/>
    <w:link w:val="style31"/>
    <w:qFormat/>
    <w:uiPriority w:val="99"/>
    <w:rPr>
      <w:kern w:val="2"/>
      <w:sz w:val="18"/>
      <w:szCs w:val="18"/>
    </w:rPr>
  </w:style>
  <w:style w:type="character" w:customStyle="1" w:styleId="style4098">
    <w:name w:val="页脚 字符"/>
    <w:basedOn w:val="style65"/>
    <w:next w:val="style4098"/>
    <w:link w:val="style32"/>
    <w:qFormat/>
    <w:uiPriority w:val="99"/>
    <w:rPr>
      <w:kern w:val="2"/>
      <w:sz w:val="18"/>
      <w:szCs w:val="18"/>
    </w:rPr>
  </w:style>
  <w:style w:type="paragraph" w:styleId="style179">
    <w:name w:val="List Paragraph"/>
    <w:basedOn w:val="style0"/>
    <w:next w:val="style179"/>
    <w:qFormat/>
    <w:uiPriority w:val="99"/>
    <w:pPr>
      <w:ind w:firstLine="420" w:firstLineChars="200"/>
    </w:pPr>
    <w:rPr/>
  </w:style>
  <w:style w:type="character" w:customStyle="1" w:styleId="style4099">
    <w:name w:val="批注文字 字符"/>
    <w:basedOn w:val="style65"/>
    <w:next w:val="style4099"/>
    <w:link w:val="style30"/>
    <w:qFormat/>
    <w:uiPriority w:val="99"/>
    <w:rPr>
      <w:kern w:val="2"/>
      <w:sz w:val="21"/>
      <w:szCs w:val="22"/>
    </w:rPr>
  </w:style>
  <w:style w:type="character" w:customStyle="1" w:styleId="style4100">
    <w:name w:val="批注主题 字符"/>
    <w:basedOn w:val="style4099"/>
    <w:next w:val="style4100"/>
    <w:link w:val="style106"/>
    <w:qFormat/>
    <w:uiPriority w:val="99"/>
    <w:rPr>
      <w:b/>
      <w:bCs/>
      <w:kern w:val="2"/>
      <w:sz w:val="21"/>
      <w:szCs w:val="22"/>
    </w:rPr>
  </w:style>
  <w:style w:type="character" w:customStyle="1" w:styleId="style4101">
    <w:name w:val="批注框文本 字符"/>
    <w:basedOn w:val="style65"/>
    <w:next w:val="style4101"/>
    <w:link w:val="style153"/>
    <w:qFormat/>
    <w:uiPriority w:val="99"/>
    <w:rPr>
      <w:kern w:val="2"/>
      <w:sz w:val="18"/>
      <w:szCs w:val="18"/>
    </w:rPr>
  </w:style>
  <w:style w:type="paragraph" w:customStyle="1" w:styleId="style4102">
    <w:name w:val="005正文"/>
    <w:basedOn w:val="style0"/>
    <w:next w:val="style4102"/>
    <w:qFormat/>
    <w:pPr>
      <w:adjustRightInd w:val="false"/>
      <w:snapToGrid w:val="false"/>
      <w:spacing w:before="156" w:beforeLines="50" w:after="156" w:afterLines="50" w:lineRule="exact" w:line="400"/>
    </w:pPr>
    <w:rPr>
      <w:rFonts w:ascii="Times New Roman" w:cs="Times New Roman" w:eastAsia="宋体" w:hAnsi="Times New Roman"/>
      <w:bCs/>
      <w:iCs/>
      <w:color w:val="000000"/>
      <w:kern w:val="0"/>
      <w:sz w:val="24"/>
    </w:rPr>
  </w:style>
  <w:style w:type="character" w:customStyle="1" w:styleId="style4103">
    <w:name w:val="fontstyle01"/>
    <w:basedOn w:val="style65"/>
    <w:next w:val="style4103"/>
    <w:qFormat/>
    <w:rPr>
      <w:rFonts w:ascii="宋体" w:eastAsia="宋体" w:hAnsi="宋体" w:hint="eastAsia"/>
      <w:color w:val="000000"/>
      <w:sz w:val="24"/>
      <w:szCs w:val="24"/>
    </w:rPr>
  </w:style>
  <w:style w:type="character" w:customStyle="1" w:styleId="style4104">
    <w:name w:val="标题 4 字符"/>
    <w:basedOn w:val="style65"/>
    <w:next w:val="style4104"/>
    <w:link w:val="style4"/>
    <w:uiPriority w:val="9"/>
    <w:rPr>
      <w:rFonts w:ascii="Calibri Light" w:cs="宋体" w:eastAsia="宋体" w:hAnsi="Calibri Light"/>
      <w:b/>
      <w:bCs/>
      <w:kern w:val="2"/>
      <w:sz w:val="28"/>
      <w:szCs w:val="2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DD53F-1BB4-436F-AD41-81728D04F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2474</Words>
  <Pages>4</Pages>
  <Characters>2674</Characters>
  <Application>WPS Office</Application>
  <DocSecurity>0</DocSecurity>
  <Paragraphs>59</Paragraphs>
  <ScaleCrop>false</ScaleCrop>
  <LinksUpToDate>false</LinksUpToDate>
  <CharactersWithSpaces>2752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2024-11-20T02:40:00Z</dcterms:created>
  <dc:creator>Li Xiang</dc:creator>
  <lastModifiedBy>24031PN0DC</lastModifiedBy>
  <dcterms:modified xsi:type="dcterms:W3CDTF">2024-11-21T07:25:57Z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92373517a932468bb8609af9caf0939f_23</vt:lpwstr>
  </property>
</Properties>
</file>