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49EE2" w14:textId="77777777" w:rsidR="0025655D" w:rsidRDefault="00000000">
      <w:pPr>
        <w:pStyle w:val="a3"/>
        <w:spacing w:before="121" w:line="218" w:lineRule="auto"/>
        <w:ind w:left="126"/>
        <w:rPr>
          <w:rFonts w:hint="eastAsia"/>
          <w:lang w:eastAsia="zh-CN"/>
        </w:rPr>
      </w:pPr>
      <w:r>
        <w:rPr>
          <w:b/>
          <w:bCs/>
          <w:spacing w:val="-1"/>
          <w:lang w:eastAsia="zh-CN"/>
        </w:rPr>
        <w:t>股票代码：</w:t>
      </w:r>
      <w:r>
        <w:rPr>
          <w:rFonts w:hint="eastAsia"/>
          <w:b/>
          <w:bCs/>
          <w:spacing w:val="-1"/>
          <w:lang w:eastAsia="zh-CN"/>
        </w:rPr>
        <w:t>603373</w:t>
      </w:r>
      <w:r>
        <w:rPr>
          <w:spacing w:val="-1"/>
          <w:lang w:eastAsia="zh-CN"/>
        </w:rPr>
        <w:t xml:space="preserve">        </w:t>
      </w:r>
      <w:r>
        <w:rPr>
          <w:rFonts w:hint="eastAsia"/>
          <w:spacing w:val="-1"/>
          <w:lang w:eastAsia="zh-CN"/>
        </w:rPr>
        <w:t xml:space="preserve">      </w:t>
      </w:r>
      <w:r>
        <w:rPr>
          <w:spacing w:val="-1"/>
          <w:lang w:eastAsia="zh-CN"/>
        </w:rPr>
        <w:t xml:space="preserve">                                </w:t>
      </w:r>
      <w:r>
        <w:rPr>
          <w:b/>
          <w:bCs/>
          <w:spacing w:val="-1"/>
          <w:lang w:eastAsia="zh-CN"/>
        </w:rPr>
        <w:t>证券简称：</w:t>
      </w:r>
      <w:r>
        <w:rPr>
          <w:rFonts w:hint="eastAsia"/>
          <w:b/>
          <w:bCs/>
          <w:spacing w:val="-1"/>
          <w:lang w:eastAsia="zh-CN"/>
        </w:rPr>
        <w:t>安邦护卫</w:t>
      </w:r>
      <w:r>
        <w:rPr>
          <w:spacing w:val="-1"/>
          <w:lang w:eastAsia="zh-CN"/>
        </w:rPr>
        <w:t xml:space="preserve"> </w:t>
      </w:r>
    </w:p>
    <w:p w14:paraId="22803386" w14:textId="77777777" w:rsidR="0025655D" w:rsidRDefault="0025655D">
      <w:pPr>
        <w:spacing w:before="117" w:line="220" w:lineRule="auto"/>
        <w:ind w:left="2782"/>
        <w:outlineLvl w:val="0"/>
        <w:rPr>
          <w:rFonts w:ascii="宋体" w:eastAsia="宋体" w:hAnsi="宋体" w:cs="宋体" w:hint="eastAsia"/>
          <w:b/>
          <w:bCs/>
          <w:spacing w:val="-5"/>
          <w:sz w:val="36"/>
          <w:szCs w:val="36"/>
          <w:lang w:eastAsia="zh-CN"/>
        </w:rPr>
      </w:pPr>
    </w:p>
    <w:p w14:paraId="2B45530E" w14:textId="77777777" w:rsidR="0025655D" w:rsidRDefault="00000000">
      <w:pPr>
        <w:spacing w:before="117" w:line="220" w:lineRule="auto"/>
        <w:ind w:left="2782"/>
        <w:outlineLvl w:val="0"/>
        <w:rPr>
          <w:rFonts w:ascii="宋体" w:eastAsia="宋体" w:hAnsi="宋体" w:cs="宋体" w:hint="eastAsia"/>
          <w:sz w:val="36"/>
          <w:szCs w:val="36"/>
          <w:lang w:eastAsia="zh-CN"/>
        </w:rPr>
      </w:pPr>
      <w:r>
        <w:rPr>
          <w:rFonts w:ascii="黑体" w:eastAsia="黑体" w:hAnsi="黑体" w:cs="黑体" w:hint="eastAsia"/>
          <w:b/>
          <w:bCs/>
          <w:color w:val="FF0000"/>
          <w:spacing w:val="-4"/>
          <w:sz w:val="36"/>
          <w:szCs w:val="36"/>
          <w:lang w:eastAsia="zh-CN"/>
        </w:rPr>
        <w:t>安邦护卫集团股份有限</w:t>
      </w:r>
      <w:r>
        <w:rPr>
          <w:rFonts w:ascii="黑体" w:eastAsia="黑体" w:hAnsi="黑体" w:cs="黑体"/>
          <w:b/>
          <w:bCs/>
          <w:color w:val="FF0000"/>
          <w:spacing w:val="-4"/>
          <w:sz w:val="36"/>
          <w:szCs w:val="36"/>
          <w:lang w:eastAsia="zh-CN"/>
        </w:rPr>
        <w:t>公司</w:t>
      </w:r>
    </w:p>
    <w:p w14:paraId="1D8FFC7B" w14:textId="77777777" w:rsidR="0025655D" w:rsidRDefault="00000000">
      <w:pPr>
        <w:spacing w:before="273" w:line="220" w:lineRule="auto"/>
        <w:ind w:left="3117"/>
        <w:outlineLvl w:val="0"/>
        <w:rPr>
          <w:rFonts w:ascii="宋体" w:eastAsia="宋体" w:hAnsi="宋体" w:cs="宋体" w:hint="eastAsia"/>
          <w:sz w:val="36"/>
          <w:szCs w:val="36"/>
          <w:lang w:eastAsia="zh-CN"/>
        </w:rPr>
      </w:pPr>
      <w:r>
        <w:rPr>
          <w:rFonts w:ascii="黑体" w:eastAsia="黑体" w:hAnsi="黑体" w:cs="黑体" w:hint="eastAsia"/>
          <w:b/>
          <w:bCs/>
          <w:color w:val="FF0000"/>
          <w:spacing w:val="-4"/>
          <w:sz w:val="36"/>
          <w:szCs w:val="36"/>
          <w:lang w:eastAsia="zh-CN"/>
        </w:rPr>
        <w:t>投资者关系活动记录表</w:t>
      </w:r>
    </w:p>
    <w:p w14:paraId="37D5BD98" w14:textId="77777777" w:rsidR="0025655D" w:rsidRDefault="0025655D">
      <w:pPr>
        <w:spacing w:line="248" w:lineRule="auto"/>
        <w:rPr>
          <w:lang w:eastAsia="zh-CN"/>
        </w:rPr>
      </w:pPr>
    </w:p>
    <w:p w14:paraId="1DD751ED" w14:textId="77777777" w:rsidR="0025655D" w:rsidRDefault="00000000">
      <w:pPr>
        <w:spacing w:before="78" w:line="220" w:lineRule="auto"/>
        <w:ind w:left="7137" w:firstLineChars="200" w:firstLine="464"/>
        <w:rPr>
          <w:rFonts w:ascii="宋体" w:eastAsia="宋体" w:hAnsi="宋体" w:cs="宋体" w:hint="eastAsia"/>
          <w:sz w:val="24"/>
          <w:szCs w:val="24"/>
          <w:lang w:eastAsia="zh-CN"/>
        </w:rPr>
      </w:pPr>
      <w:r>
        <w:rPr>
          <w:rFonts w:ascii="宋体" w:eastAsia="宋体" w:hAnsi="宋体" w:cs="宋体"/>
          <w:spacing w:val="-8"/>
          <w:sz w:val="24"/>
          <w:szCs w:val="24"/>
          <w:lang w:eastAsia="zh-CN"/>
        </w:rPr>
        <w:t>记录表编号：2024-00</w:t>
      </w:r>
      <w:r>
        <w:rPr>
          <w:rFonts w:ascii="宋体" w:eastAsia="宋体" w:hAnsi="宋体" w:cs="宋体" w:hint="eastAsia"/>
          <w:spacing w:val="-8"/>
          <w:sz w:val="24"/>
          <w:szCs w:val="24"/>
          <w:lang w:eastAsia="zh-CN"/>
        </w:rPr>
        <w:t>4</w:t>
      </w:r>
    </w:p>
    <w:p w14:paraId="686EC58A" w14:textId="77777777" w:rsidR="0025655D" w:rsidRDefault="0025655D">
      <w:pPr>
        <w:spacing w:line="29" w:lineRule="exact"/>
        <w:rPr>
          <w:lang w:eastAsia="zh-CN"/>
        </w:rPr>
      </w:pPr>
    </w:p>
    <w:tbl>
      <w:tblPr>
        <w:tblStyle w:val="TableNormal"/>
        <w:tblW w:w="100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74"/>
        <w:gridCol w:w="2586"/>
        <w:gridCol w:w="5864"/>
      </w:tblGrid>
      <w:tr w:rsidR="0025655D" w14:paraId="4A47F414" w14:textId="77777777">
        <w:trPr>
          <w:trHeight w:val="2039"/>
        </w:trPr>
        <w:tc>
          <w:tcPr>
            <w:tcW w:w="1574" w:type="dxa"/>
          </w:tcPr>
          <w:p w14:paraId="7C9D342B" w14:textId="77777777" w:rsidR="0025655D" w:rsidRDefault="0025655D">
            <w:pPr>
              <w:spacing w:line="289" w:lineRule="auto"/>
              <w:rPr>
                <w:lang w:eastAsia="zh-CN"/>
              </w:rPr>
            </w:pPr>
          </w:p>
          <w:p w14:paraId="35E74B2F" w14:textId="77777777" w:rsidR="0025655D" w:rsidRDefault="0025655D">
            <w:pPr>
              <w:spacing w:line="289" w:lineRule="auto"/>
              <w:rPr>
                <w:lang w:eastAsia="zh-CN"/>
              </w:rPr>
            </w:pPr>
          </w:p>
          <w:p w14:paraId="053C23C4" w14:textId="77777777" w:rsidR="0025655D" w:rsidRDefault="00000000">
            <w:pPr>
              <w:pStyle w:val="TableText"/>
              <w:spacing w:before="78" w:line="230" w:lineRule="auto"/>
              <w:ind w:left="257" w:right="240" w:hanging="121"/>
              <w:rPr>
                <w:rFonts w:hint="eastAsia"/>
              </w:rPr>
            </w:pPr>
            <w:proofErr w:type="spellStart"/>
            <w:r>
              <w:rPr>
                <w:b/>
                <w:bCs/>
                <w:spacing w:val="-5"/>
              </w:rPr>
              <w:t>投资者关系</w:t>
            </w:r>
            <w:proofErr w:type="spellEnd"/>
            <w:r>
              <w:rPr>
                <w:spacing w:val="3"/>
              </w:rPr>
              <w:t xml:space="preserve"> </w:t>
            </w:r>
            <w:proofErr w:type="spellStart"/>
            <w:r>
              <w:rPr>
                <w:b/>
                <w:bCs/>
                <w:spacing w:val="-5"/>
              </w:rPr>
              <w:t>活动类别</w:t>
            </w:r>
            <w:proofErr w:type="spellEnd"/>
          </w:p>
        </w:tc>
        <w:tc>
          <w:tcPr>
            <w:tcW w:w="2586" w:type="dxa"/>
            <w:tcBorders>
              <w:right w:val="nil"/>
            </w:tcBorders>
          </w:tcPr>
          <w:p w14:paraId="6F34D9F0" w14:textId="77777777" w:rsidR="0025655D" w:rsidRDefault="00000000">
            <w:pPr>
              <w:pStyle w:val="TableText"/>
              <w:spacing w:before="133" w:line="220" w:lineRule="auto"/>
              <w:ind w:left="140"/>
              <w:rPr>
                <w:rFonts w:hint="eastAsia"/>
                <w:lang w:eastAsia="zh-CN"/>
              </w:rPr>
            </w:pPr>
            <w:r>
              <w:rPr>
                <w:rFonts w:hint="eastAsia"/>
                <w:spacing w:val="-5"/>
                <w:lang w:eastAsia="zh-CN"/>
              </w:rPr>
              <w:t>☑</w:t>
            </w:r>
            <w:r>
              <w:rPr>
                <w:spacing w:val="-5"/>
                <w:lang w:eastAsia="zh-CN"/>
              </w:rPr>
              <w:t>特定对象调研</w:t>
            </w:r>
          </w:p>
          <w:p w14:paraId="5999ADD1" w14:textId="77777777" w:rsidR="0025655D" w:rsidRDefault="00000000">
            <w:pPr>
              <w:pStyle w:val="TableText"/>
              <w:spacing w:before="196" w:line="219" w:lineRule="auto"/>
              <w:ind w:left="140"/>
              <w:rPr>
                <w:rFonts w:hint="eastAsia"/>
                <w:lang w:eastAsia="zh-CN"/>
              </w:rPr>
            </w:pPr>
            <w:r>
              <w:rPr>
                <w:spacing w:val="-7"/>
                <w:lang w:eastAsia="zh-CN"/>
              </w:rPr>
              <w:t>□媒体采访</w:t>
            </w:r>
          </w:p>
          <w:p w14:paraId="77AE1ED6" w14:textId="77777777" w:rsidR="0025655D" w:rsidRDefault="00000000">
            <w:pPr>
              <w:pStyle w:val="TableText"/>
              <w:spacing w:before="227" w:line="219" w:lineRule="auto"/>
              <w:ind w:left="140"/>
              <w:rPr>
                <w:rFonts w:hint="eastAsia"/>
                <w:lang w:eastAsia="zh-CN"/>
              </w:rPr>
            </w:pPr>
            <w:r>
              <w:rPr>
                <w:spacing w:val="-6"/>
                <w:lang w:eastAsia="zh-CN"/>
              </w:rPr>
              <w:t>□新闻发布会</w:t>
            </w:r>
          </w:p>
          <w:p w14:paraId="6DE1F7DE" w14:textId="77777777" w:rsidR="0025655D" w:rsidRDefault="00000000">
            <w:pPr>
              <w:pStyle w:val="TableText"/>
              <w:spacing w:before="267" w:line="220" w:lineRule="auto"/>
              <w:ind w:left="140"/>
              <w:rPr>
                <w:rFonts w:hint="eastAsia"/>
                <w:lang w:eastAsia="zh-CN"/>
              </w:rPr>
            </w:pPr>
            <w:r>
              <w:rPr>
                <w:rFonts w:hint="eastAsia"/>
                <w:spacing w:val="-7"/>
                <w:lang w:eastAsia="zh-CN"/>
              </w:rPr>
              <w:t>□</w:t>
            </w:r>
            <w:r>
              <w:rPr>
                <w:spacing w:val="-7"/>
                <w:lang w:eastAsia="zh-CN"/>
              </w:rPr>
              <w:t>现场参观</w:t>
            </w:r>
          </w:p>
        </w:tc>
        <w:tc>
          <w:tcPr>
            <w:tcW w:w="5864" w:type="dxa"/>
            <w:tcBorders>
              <w:left w:val="nil"/>
            </w:tcBorders>
          </w:tcPr>
          <w:p w14:paraId="10EEF0DE" w14:textId="77777777" w:rsidR="0025655D" w:rsidRDefault="00000000">
            <w:pPr>
              <w:pStyle w:val="TableText"/>
              <w:spacing w:before="134" w:line="219" w:lineRule="auto"/>
              <w:ind w:left="797"/>
              <w:rPr>
                <w:rFonts w:hint="eastAsia"/>
                <w:lang w:eastAsia="zh-CN"/>
              </w:rPr>
            </w:pPr>
            <w:r>
              <w:rPr>
                <w:spacing w:val="-6"/>
                <w:lang w:eastAsia="zh-CN"/>
              </w:rPr>
              <w:t>□分析师会议</w:t>
            </w:r>
          </w:p>
          <w:p w14:paraId="399B39CF" w14:textId="77777777" w:rsidR="0025655D" w:rsidRDefault="00000000">
            <w:pPr>
              <w:pStyle w:val="TableText"/>
              <w:spacing w:before="197" w:line="219" w:lineRule="auto"/>
              <w:ind w:left="797"/>
              <w:rPr>
                <w:rFonts w:hint="eastAsia"/>
                <w:lang w:eastAsia="zh-CN"/>
              </w:rPr>
            </w:pPr>
            <w:r>
              <w:rPr>
                <w:rFonts w:hint="eastAsia"/>
                <w:spacing w:val="-6"/>
                <w:lang w:eastAsia="zh-CN"/>
              </w:rPr>
              <w:t>□</w:t>
            </w:r>
            <w:r>
              <w:rPr>
                <w:spacing w:val="-6"/>
                <w:lang w:eastAsia="zh-CN"/>
              </w:rPr>
              <w:t>业绩说明会</w:t>
            </w:r>
          </w:p>
          <w:p w14:paraId="130586C7" w14:textId="77777777" w:rsidR="0025655D" w:rsidRDefault="00000000">
            <w:pPr>
              <w:pStyle w:val="TableText"/>
              <w:spacing w:before="226" w:line="220" w:lineRule="auto"/>
              <w:ind w:left="797"/>
              <w:rPr>
                <w:rFonts w:hint="eastAsia"/>
                <w:lang w:eastAsia="zh-CN"/>
              </w:rPr>
            </w:pPr>
            <w:r>
              <w:rPr>
                <w:rFonts w:hint="eastAsia"/>
                <w:spacing w:val="-7"/>
                <w:lang w:eastAsia="zh-CN"/>
              </w:rPr>
              <w:t>□</w:t>
            </w:r>
            <w:r>
              <w:rPr>
                <w:spacing w:val="-7"/>
                <w:lang w:eastAsia="zh-CN"/>
              </w:rPr>
              <w:t>路演活动</w:t>
            </w:r>
          </w:p>
          <w:p w14:paraId="56104C32" w14:textId="77777777" w:rsidR="0025655D" w:rsidRDefault="00000000">
            <w:pPr>
              <w:pStyle w:val="TableText"/>
              <w:spacing w:before="266" w:line="219" w:lineRule="auto"/>
              <w:ind w:left="797"/>
              <w:rPr>
                <w:rFonts w:hint="eastAsia"/>
                <w:lang w:eastAsia="zh-CN"/>
              </w:rPr>
            </w:pPr>
            <w:r>
              <w:rPr>
                <w:rFonts w:hint="eastAsia"/>
                <w:spacing w:val="-7"/>
                <w:lang w:eastAsia="zh-CN"/>
              </w:rPr>
              <w:t>□</w:t>
            </w:r>
            <w:r>
              <w:rPr>
                <w:spacing w:val="-5"/>
                <w:lang w:eastAsia="zh-CN"/>
              </w:rPr>
              <w:t>其他：电话会议</w:t>
            </w:r>
          </w:p>
        </w:tc>
      </w:tr>
      <w:tr w:rsidR="0025655D" w14:paraId="2C5517D3" w14:textId="77777777">
        <w:trPr>
          <w:trHeight w:val="1370"/>
        </w:trPr>
        <w:tc>
          <w:tcPr>
            <w:tcW w:w="1574" w:type="dxa"/>
          </w:tcPr>
          <w:p w14:paraId="456B7BE8" w14:textId="77777777" w:rsidR="0025655D" w:rsidRDefault="00000000">
            <w:pPr>
              <w:pStyle w:val="TableText"/>
              <w:spacing w:before="310" w:line="230" w:lineRule="auto"/>
              <w:ind w:left="190" w:right="62" w:hanging="117"/>
              <w:rPr>
                <w:rFonts w:hint="eastAsia"/>
                <w:lang w:eastAsia="zh-CN"/>
              </w:rPr>
            </w:pPr>
            <w:r>
              <w:rPr>
                <w:b/>
                <w:bCs/>
                <w:spacing w:val="-4"/>
                <w:lang w:eastAsia="zh-CN"/>
              </w:rPr>
              <w:t>参与单位名称</w:t>
            </w:r>
            <w:r>
              <w:rPr>
                <w:lang w:eastAsia="zh-CN"/>
              </w:rPr>
              <w:t xml:space="preserve"> </w:t>
            </w:r>
            <w:r>
              <w:rPr>
                <w:b/>
                <w:bCs/>
                <w:spacing w:val="-4"/>
                <w:lang w:eastAsia="zh-CN"/>
              </w:rPr>
              <w:t>及人员姓名</w:t>
            </w:r>
          </w:p>
        </w:tc>
        <w:tc>
          <w:tcPr>
            <w:tcW w:w="8450" w:type="dxa"/>
            <w:gridSpan w:val="2"/>
            <w:vAlign w:val="center"/>
          </w:tcPr>
          <w:p w14:paraId="477D488D" w14:textId="028EA9EA" w:rsidR="0025655D" w:rsidRDefault="00000000">
            <w:pPr>
              <w:pStyle w:val="TableText"/>
              <w:spacing w:before="153" w:line="232" w:lineRule="auto"/>
              <w:ind w:right="4"/>
              <w:jc w:val="both"/>
              <w:rPr>
                <w:rFonts w:hint="eastAsia"/>
                <w:lang w:eastAsia="zh-CN"/>
              </w:rPr>
            </w:pPr>
            <w:r>
              <w:rPr>
                <w:rFonts w:hint="eastAsia"/>
                <w:lang w:eastAsia="zh-CN"/>
              </w:rPr>
              <w:t>方正</w:t>
            </w:r>
            <w:r w:rsidR="00CF0183">
              <w:rPr>
                <w:rFonts w:hint="eastAsia"/>
                <w:lang w:eastAsia="zh-CN"/>
              </w:rPr>
              <w:t>证券  王雪尼</w:t>
            </w:r>
            <w:r>
              <w:rPr>
                <w:rFonts w:hint="eastAsia"/>
                <w:lang w:eastAsia="zh-CN"/>
              </w:rPr>
              <w:t>、</w:t>
            </w:r>
            <w:r w:rsidR="00CF0183">
              <w:rPr>
                <w:rFonts w:hint="eastAsia"/>
                <w:lang w:eastAsia="zh-CN"/>
              </w:rPr>
              <w:t>山西证券 杨杰、</w:t>
            </w:r>
            <w:r>
              <w:rPr>
                <w:rFonts w:hint="eastAsia"/>
                <w:lang w:eastAsia="zh-CN"/>
              </w:rPr>
              <w:t>华西商社</w:t>
            </w:r>
            <w:r w:rsidR="00CF0183">
              <w:rPr>
                <w:rFonts w:hint="eastAsia"/>
                <w:lang w:eastAsia="zh-CN"/>
              </w:rPr>
              <w:t xml:space="preserve"> 许光辉</w:t>
            </w:r>
            <w:r>
              <w:rPr>
                <w:rFonts w:hint="eastAsia"/>
                <w:lang w:eastAsia="zh-CN"/>
              </w:rPr>
              <w:t>、东方基金</w:t>
            </w:r>
            <w:r w:rsidR="00CF0183">
              <w:rPr>
                <w:rFonts w:hint="eastAsia"/>
                <w:lang w:eastAsia="zh-CN"/>
              </w:rPr>
              <w:t xml:space="preserve"> 李昱奇</w:t>
            </w:r>
            <w:r>
              <w:rPr>
                <w:rFonts w:hint="eastAsia"/>
                <w:lang w:eastAsia="zh-CN"/>
              </w:rPr>
              <w:t>、财通证券</w:t>
            </w:r>
            <w:r w:rsidR="00CF0183">
              <w:rPr>
                <w:rFonts w:hint="eastAsia"/>
                <w:lang w:eastAsia="zh-CN"/>
              </w:rPr>
              <w:t xml:space="preserve"> 吴泳莉</w:t>
            </w:r>
          </w:p>
        </w:tc>
      </w:tr>
      <w:tr w:rsidR="0025655D" w14:paraId="6EB46C7F" w14:textId="77777777">
        <w:trPr>
          <w:trHeight w:val="683"/>
        </w:trPr>
        <w:tc>
          <w:tcPr>
            <w:tcW w:w="1574" w:type="dxa"/>
          </w:tcPr>
          <w:p w14:paraId="577FC1E2" w14:textId="77777777" w:rsidR="0025655D" w:rsidRDefault="00000000">
            <w:pPr>
              <w:pStyle w:val="TableText"/>
              <w:spacing w:before="219" w:line="222" w:lineRule="auto"/>
              <w:ind w:left="563"/>
              <w:rPr>
                <w:rFonts w:hint="eastAsia"/>
              </w:rPr>
            </w:pPr>
            <w:proofErr w:type="spellStart"/>
            <w:r>
              <w:rPr>
                <w:b/>
                <w:bCs/>
                <w:spacing w:val="-8"/>
              </w:rPr>
              <w:t>时间</w:t>
            </w:r>
            <w:proofErr w:type="spellEnd"/>
          </w:p>
        </w:tc>
        <w:tc>
          <w:tcPr>
            <w:tcW w:w="8450" w:type="dxa"/>
            <w:gridSpan w:val="2"/>
            <w:vAlign w:val="center"/>
          </w:tcPr>
          <w:p w14:paraId="5B3DD8D6" w14:textId="77777777" w:rsidR="0025655D" w:rsidRDefault="00000000">
            <w:pPr>
              <w:pStyle w:val="TableText"/>
              <w:spacing w:before="202" w:line="220" w:lineRule="auto"/>
              <w:jc w:val="both"/>
              <w:rPr>
                <w:rFonts w:hint="eastAsia"/>
                <w:lang w:eastAsia="zh-CN"/>
              </w:rPr>
            </w:pPr>
            <w:r>
              <w:rPr>
                <w:spacing w:val="-1"/>
              </w:rPr>
              <w:t>2024年</w:t>
            </w:r>
            <w:r>
              <w:rPr>
                <w:rFonts w:hint="eastAsia"/>
                <w:spacing w:val="-1"/>
                <w:lang w:eastAsia="zh-CN"/>
              </w:rPr>
              <w:t>11</w:t>
            </w:r>
            <w:r>
              <w:rPr>
                <w:spacing w:val="-1"/>
              </w:rPr>
              <w:t>月</w:t>
            </w:r>
            <w:r>
              <w:rPr>
                <w:rFonts w:hint="eastAsia"/>
                <w:spacing w:val="-1"/>
                <w:lang w:eastAsia="zh-CN"/>
              </w:rPr>
              <w:t>下旬</w:t>
            </w:r>
          </w:p>
        </w:tc>
      </w:tr>
      <w:tr w:rsidR="0025655D" w14:paraId="05CABD84" w14:textId="77777777">
        <w:trPr>
          <w:trHeight w:val="684"/>
        </w:trPr>
        <w:tc>
          <w:tcPr>
            <w:tcW w:w="1574" w:type="dxa"/>
          </w:tcPr>
          <w:p w14:paraId="1AB32D6A" w14:textId="77777777" w:rsidR="0025655D" w:rsidRDefault="00000000">
            <w:pPr>
              <w:pStyle w:val="TableText"/>
              <w:spacing w:before="221" w:line="224" w:lineRule="auto"/>
              <w:ind w:left="552"/>
              <w:rPr>
                <w:rFonts w:hint="eastAsia"/>
              </w:rPr>
            </w:pPr>
            <w:proofErr w:type="spellStart"/>
            <w:r>
              <w:rPr>
                <w:b/>
                <w:bCs/>
                <w:spacing w:val="-5"/>
              </w:rPr>
              <w:t>地点</w:t>
            </w:r>
            <w:proofErr w:type="spellEnd"/>
          </w:p>
        </w:tc>
        <w:tc>
          <w:tcPr>
            <w:tcW w:w="8450" w:type="dxa"/>
            <w:gridSpan w:val="2"/>
            <w:vAlign w:val="center"/>
          </w:tcPr>
          <w:p w14:paraId="66E1F6ED" w14:textId="77777777" w:rsidR="0025655D" w:rsidRDefault="00000000">
            <w:pPr>
              <w:pStyle w:val="TableText"/>
              <w:spacing w:before="204" w:line="219" w:lineRule="auto"/>
              <w:jc w:val="both"/>
              <w:rPr>
                <w:rFonts w:hint="eastAsia"/>
                <w:lang w:eastAsia="zh-CN"/>
              </w:rPr>
            </w:pPr>
            <w:r>
              <w:rPr>
                <w:rFonts w:hint="eastAsia"/>
                <w:spacing w:val="-11"/>
                <w:kern w:val="13"/>
                <w:lang w:eastAsia="zh-CN"/>
              </w:rPr>
              <w:t>公司会议室</w:t>
            </w:r>
          </w:p>
        </w:tc>
      </w:tr>
      <w:tr w:rsidR="0025655D" w14:paraId="4208FB8C" w14:textId="77777777">
        <w:trPr>
          <w:trHeight w:val="940"/>
        </w:trPr>
        <w:tc>
          <w:tcPr>
            <w:tcW w:w="1574" w:type="dxa"/>
          </w:tcPr>
          <w:p w14:paraId="4DD51525" w14:textId="77777777" w:rsidR="0025655D" w:rsidRDefault="00000000">
            <w:pPr>
              <w:pStyle w:val="TableText"/>
              <w:spacing w:before="191" w:line="230" w:lineRule="auto"/>
              <w:ind w:left="313" w:right="62" w:hanging="240"/>
              <w:rPr>
                <w:rFonts w:hint="eastAsia"/>
                <w:lang w:eastAsia="zh-CN"/>
              </w:rPr>
            </w:pPr>
            <w:r>
              <w:rPr>
                <w:b/>
                <w:bCs/>
                <w:spacing w:val="-4"/>
                <w:lang w:eastAsia="zh-CN"/>
              </w:rPr>
              <w:t>上市公司接待</w:t>
            </w:r>
            <w:r>
              <w:rPr>
                <w:lang w:eastAsia="zh-CN"/>
              </w:rPr>
              <w:t xml:space="preserve"> </w:t>
            </w:r>
            <w:r>
              <w:rPr>
                <w:b/>
                <w:bCs/>
                <w:spacing w:val="-5"/>
                <w:lang w:eastAsia="zh-CN"/>
              </w:rPr>
              <w:t>人员姓名</w:t>
            </w:r>
          </w:p>
        </w:tc>
        <w:tc>
          <w:tcPr>
            <w:tcW w:w="8450" w:type="dxa"/>
            <w:gridSpan w:val="2"/>
            <w:vAlign w:val="center"/>
          </w:tcPr>
          <w:p w14:paraId="0298FC05" w14:textId="77777777" w:rsidR="0025655D" w:rsidRDefault="00000000">
            <w:pPr>
              <w:rPr>
                <w:rFonts w:eastAsia="宋体"/>
                <w:lang w:eastAsia="zh-CN"/>
              </w:rPr>
            </w:pPr>
            <w:proofErr w:type="spellStart"/>
            <w:r>
              <w:rPr>
                <w:rFonts w:ascii="宋体" w:eastAsia="宋体" w:hAnsi="宋体" w:cs="宋体" w:hint="eastAsia"/>
                <w:sz w:val="24"/>
                <w:szCs w:val="24"/>
              </w:rPr>
              <w:t>董事会秘书</w:t>
            </w:r>
            <w:proofErr w:type="spellEnd"/>
            <w:r>
              <w:rPr>
                <w:rFonts w:ascii="宋体" w:eastAsia="宋体" w:hAnsi="宋体" w:cs="宋体" w:hint="eastAsia"/>
                <w:sz w:val="24"/>
                <w:szCs w:val="24"/>
                <w:lang w:eastAsia="zh-CN"/>
              </w:rPr>
              <w:t>：</w:t>
            </w:r>
            <w:proofErr w:type="spellStart"/>
            <w:r>
              <w:rPr>
                <w:rFonts w:ascii="宋体" w:eastAsia="宋体" w:hAnsi="宋体" w:cs="宋体" w:hint="eastAsia"/>
                <w:sz w:val="24"/>
                <w:szCs w:val="24"/>
              </w:rPr>
              <w:t>周黎隽</w:t>
            </w:r>
            <w:proofErr w:type="spellEnd"/>
          </w:p>
        </w:tc>
      </w:tr>
      <w:tr w:rsidR="0025655D" w14:paraId="4BB988BC" w14:textId="77777777">
        <w:trPr>
          <w:trHeight w:val="3555"/>
        </w:trPr>
        <w:tc>
          <w:tcPr>
            <w:tcW w:w="1574" w:type="dxa"/>
          </w:tcPr>
          <w:p w14:paraId="6DA6F862" w14:textId="77777777" w:rsidR="0025655D" w:rsidRDefault="0025655D">
            <w:pPr>
              <w:spacing w:line="252" w:lineRule="auto"/>
              <w:rPr>
                <w:lang w:eastAsia="zh-CN"/>
              </w:rPr>
            </w:pPr>
          </w:p>
          <w:p w14:paraId="3993C63B" w14:textId="77777777" w:rsidR="0025655D" w:rsidRDefault="0025655D">
            <w:pPr>
              <w:spacing w:line="252" w:lineRule="auto"/>
              <w:rPr>
                <w:lang w:eastAsia="zh-CN"/>
              </w:rPr>
            </w:pPr>
          </w:p>
          <w:p w14:paraId="75289E5F" w14:textId="77777777" w:rsidR="0025655D" w:rsidRDefault="0025655D">
            <w:pPr>
              <w:spacing w:line="253" w:lineRule="auto"/>
              <w:rPr>
                <w:lang w:eastAsia="zh-CN"/>
              </w:rPr>
            </w:pPr>
          </w:p>
          <w:p w14:paraId="325093A8" w14:textId="77777777" w:rsidR="0025655D" w:rsidRDefault="0025655D">
            <w:pPr>
              <w:spacing w:line="253" w:lineRule="auto"/>
              <w:rPr>
                <w:lang w:eastAsia="zh-CN"/>
              </w:rPr>
            </w:pPr>
          </w:p>
          <w:p w14:paraId="583D524C" w14:textId="77777777" w:rsidR="0025655D" w:rsidRDefault="0025655D">
            <w:pPr>
              <w:spacing w:line="253" w:lineRule="auto"/>
              <w:rPr>
                <w:lang w:eastAsia="zh-CN"/>
              </w:rPr>
            </w:pPr>
          </w:p>
          <w:p w14:paraId="438B0547" w14:textId="77777777" w:rsidR="0025655D" w:rsidRDefault="0025655D">
            <w:pPr>
              <w:spacing w:line="253" w:lineRule="auto"/>
              <w:rPr>
                <w:lang w:eastAsia="zh-CN"/>
              </w:rPr>
            </w:pPr>
          </w:p>
          <w:p w14:paraId="47563C33" w14:textId="77777777" w:rsidR="0025655D" w:rsidRDefault="0025655D">
            <w:pPr>
              <w:spacing w:line="253" w:lineRule="auto"/>
              <w:rPr>
                <w:lang w:eastAsia="zh-CN"/>
              </w:rPr>
            </w:pPr>
          </w:p>
          <w:p w14:paraId="52504E56" w14:textId="77777777" w:rsidR="0025655D" w:rsidRDefault="0025655D">
            <w:pPr>
              <w:spacing w:line="253" w:lineRule="auto"/>
              <w:rPr>
                <w:lang w:eastAsia="zh-CN"/>
              </w:rPr>
            </w:pPr>
          </w:p>
          <w:p w14:paraId="6DDA22F7" w14:textId="77777777" w:rsidR="0025655D" w:rsidRDefault="0025655D">
            <w:pPr>
              <w:spacing w:line="253" w:lineRule="auto"/>
              <w:rPr>
                <w:lang w:eastAsia="zh-CN"/>
              </w:rPr>
            </w:pPr>
          </w:p>
          <w:p w14:paraId="647C42E2" w14:textId="77777777" w:rsidR="0025655D" w:rsidRDefault="0025655D">
            <w:pPr>
              <w:spacing w:line="253" w:lineRule="auto"/>
              <w:rPr>
                <w:lang w:eastAsia="zh-CN"/>
              </w:rPr>
            </w:pPr>
          </w:p>
          <w:p w14:paraId="0E1EBA56" w14:textId="77777777" w:rsidR="0025655D" w:rsidRDefault="0025655D">
            <w:pPr>
              <w:spacing w:line="253" w:lineRule="auto"/>
              <w:rPr>
                <w:lang w:eastAsia="zh-CN"/>
              </w:rPr>
            </w:pPr>
          </w:p>
          <w:p w14:paraId="4BDF2DBD" w14:textId="77777777" w:rsidR="0025655D" w:rsidRDefault="00000000">
            <w:pPr>
              <w:pStyle w:val="TableText"/>
              <w:spacing w:before="78" w:line="220" w:lineRule="auto"/>
              <w:ind w:left="74"/>
              <w:rPr>
                <w:rFonts w:hint="eastAsia"/>
                <w:lang w:eastAsia="zh-CN"/>
              </w:rPr>
            </w:pPr>
            <w:r>
              <w:rPr>
                <w:b/>
                <w:bCs/>
                <w:spacing w:val="-4"/>
                <w:lang w:eastAsia="zh-CN"/>
              </w:rPr>
              <w:t>投资者关系活</w:t>
            </w:r>
          </w:p>
          <w:p w14:paraId="4BEA83DA" w14:textId="77777777" w:rsidR="0025655D" w:rsidRDefault="00000000">
            <w:pPr>
              <w:pStyle w:val="TableText"/>
              <w:spacing w:before="25" w:line="219" w:lineRule="auto"/>
              <w:ind w:left="72"/>
              <w:rPr>
                <w:rFonts w:hint="eastAsia"/>
                <w:lang w:eastAsia="zh-CN"/>
              </w:rPr>
            </w:pPr>
            <w:r>
              <w:rPr>
                <w:b/>
                <w:bCs/>
                <w:spacing w:val="-4"/>
                <w:lang w:eastAsia="zh-CN"/>
              </w:rPr>
              <w:t>动主要内容介</w:t>
            </w:r>
          </w:p>
          <w:p w14:paraId="7ED11403" w14:textId="77777777" w:rsidR="0025655D" w:rsidRDefault="00000000">
            <w:pPr>
              <w:pStyle w:val="TableText"/>
              <w:spacing w:before="27" w:line="225" w:lineRule="auto"/>
              <w:ind w:left="678"/>
              <w:rPr>
                <w:rFonts w:hint="eastAsia"/>
              </w:rPr>
            </w:pPr>
            <w:r>
              <w:rPr>
                <w:b/>
                <w:bCs/>
                <w:spacing w:val="-3"/>
              </w:rPr>
              <w:t>绍</w:t>
            </w:r>
          </w:p>
        </w:tc>
        <w:tc>
          <w:tcPr>
            <w:tcW w:w="8450" w:type="dxa"/>
            <w:gridSpan w:val="2"/>
          </w:tcPr>
          <w:p w14:paraId="35F9C4C8" w14:textId="77777777" w:rsidR="0025655D" w:rsidRDefault="00000000">
            <w:pPr>
              <w:pStyle w:val="a4"/>
              <w:ind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主要内容如下：</w:t>
            </w:r>
          </w:p>
          <w:p w14:paraId="49FEF2B7" w14:textId="77777777" w:rsidR="0025655D" w:rsidRDefault="00000000">
            <w:pPr>
              <w:ind w:firstLineChars="200" w:firstLine="482"/>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1、请简单介绍一下公司2024年前三季度经营情况和亮点？</w:t>
            </w:r>
          </w:p>
          <w:p w14:paraId="54B229F3" w14:textId="2664AC98"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公司前三季度收入和净利润分别同比增长12%、24%，主要是宁波和杭州的基层治理服务订单量增长较快，拉动安全应急板块增长。公司其他业务基本稳定，金融安全板块增长稳定，安防服务业务略有增长。</w:t>
            </w:r>
          </w:p>
          <w:p w14:paraId="52003674" w14:textId="77777777" w:rsidR="0025655D" w:rsidRDefault="00000000">
            <w:pPr>
              <w:ind w:firstLineChars="200" w:firstLine="482"/>
              <w:rPr>
                <w:rFonts w:ascii="宋体" w:eastAsia="宋体" w:hAnsi="宋体" w:cs="宋体" w:hint="eastAsia"/>
                <w:sz w:val="24"/>
                <w:szCs w:val="24"/>
                <w:lang w:eastAsia="zh-CN"/>
              </w:rPr>
            </w:pPr>
            <w:r>
              <w:rPr>
                <w:rFonts w:ascii="宋体" w:eastAsia="宋体" w:hAnsi="宋体" w:cs="宋体" w:hint="eastAsia"/>
                <w:b/>
                <w:bCs/>
                <w:sz w:val="24"/>
                <w:szCs w:val="24"/>
                <w:lang w:eastAsia="zh-CN"/>
              </w:rPr>
              <w:t>2、公司金融押运业务有不错的提升，主要来自哪里，后续如何展望？</w:t>
            </w:r>
          </w:p>
          <w:p w14:paraId="6D35DE8C" w14:textId="77777777"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押运业务的增长有一部分来自收购，控股子公司自去年以来，先后收购了山西朔州华昱押运和上海弘泰，并表以后今年报表端收入有所增加。另一部分来自新增银行客户。</w:t>
            </w:r>
          </w:p>
          <w:p w14:paraId="46A79BF7" w14:textId="77777777" w:rsidR="0025655D" w:rsidRDefault="00000000">
            <w:pPr>
              <w:ind w:firstLineChars="200" w:firstLine="482"/>
              <w:rPr>
                <w:rFonts w:ascii="宋体" w:eastAsia="宋体" w:hAnsi="宋体" w:cs="宋体" w:hint="eastAsia"/>
                <w:sz w:val="24"/>
                <w:szCs w:val="24"/>
                <w:lang w:eastAsia="zh-CN"/>
              </w:rPr>
            </w:pPr>
            <w:r>
              <w:rPr>
                <w:rFonts w:ascii="宋体" w:eastAsia="宋体" w:hAnsi="宋体" w:cs="宋体" w:hint="eastAsia"/>
                <w:b/>
                <w:bCs/>
                <w:sz w:val="24"/>
                <w:szCs w:val="24"/>
                <w:lang w:eastAsia="zh-CN"/>
              </w:rPr>
              <w:t>3、浙江省内银行网点服务覆盖率占比从70%多提升到81%，主要来自承接省内邮储银行网点，后续占比还有提升空间吗？</w:t>
            </w:r>
          </w:p>
          <w:p w14:paraId="27173D5B" w14:textId="39BE04A4"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截止2024年6月30日，公司押运业务已经覆盖浙江省内81%的银行网点，向上提升可能还有一些空间，但是不会</w:t>
            </w:r>
            <w:r w:rsidR="00BF5EEA">
              <w:rPr>
                <w:rFonts w:ascii="宋体" w:eastAsia="宋体" w:hAnsi="宋体" w:cs="宋体" w:hint="eastAsia"/>
                <w:sz w:val="24"/>
                <w:szCs w:val="24"/>
                <w:lang w:eastAsia="zh-CN"/>
              </w:rPr>
              <w:t>太</w:t>
            </w:r>
            <w:r>
              <w:rPr>
                <w:rFonts w:ascii="宋体" w:eastAsia="宋体" w:hAnsi="宋体" w:cs="宋体" w:hint="eastAsia"/>
                <w:sz w:val="24"/>
                <w:szCs w:val="24"/>
                <w:lang w:eastAsia="zh-CN"/>
              </w:rPr>
              <w:t>大。</w:t>
            </w:r>
          </w:p>
          <w:p w14:paraId="419991BE" w14:textId="77777777" w:rsidR="0025655D" w:rsidRDefault="00000000">
            <w:pPr>
              <w:ind w:firstLineChars="200" w:firstLine="482"/>
              <w:rPr>
                <w:rFonts w:ascii="宋体" w:eastAsia="宋体" w:hAnsi="宋体" w:cs="宋体" w:hint="eastAsia"/>
                <w:sz w:val="24"/>
                <w:szCs w:val="24"/>
                <w:lang w:eastAsia="zh-CN"/>
              </w:rPr>
            </w:pPr>
            <w:r>
              <w:rPr>
                <w:rFonts w:ascii="宋体" w:eastAsia="宋体" w:hAnsi="宋体" w:cs="宋体" w:hint="eastAsia"/>
                <w:b/>
                <w:bCs/>
                <w:sz w:val="24"/>
                <w:szCs w:val="24"/>
                <w:lang w:eastAsia="zh-CN"/>
              </w:rPr>
              <w:t>4、今明年公司金融押运的客单价还有向上提高的空间吗？</w:t>
            </w:r>
          </w:p>
          <w:p w14:paraId="3B78FD04" w14:textId="693F5AD3"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这一块的提升空间比较有限，因为公司人工成本还是会持续上涨，比如</w:t>
            </w:r>
            <w:r w:rsidR="00BF5EEA">
              <w:rPr>
                <w:rFonts w:ascii="宋体" w:eastAsia="宋体" w:hAnsi="宋体" w:cs="宋体" w:hint="eastAsia"/>
                <w:sz w:val="24"/>
                <w:szCs w:val="24"/>
                <w:lang w:eastAsia="zh-CN"/>
              </w:rPr>
              <w:t>社会</w:t>
            </w:r>
            <w:r>
              <w:rPr>
                <w:rFonts w:ascii="宋体" w:eastAsia="宋体" w:hAnsi="宋体" w:cs="宋体" w:hint="eastAsia"/>
                <w:sz w:val="24"/>
                <w:szCs w:val="24"/>
                <w:lang w:eastAsia="zh-CN"/>
              </w:rPr>
              <w:t>平均工资和社保费用每年都在增长，但公司服务价格受合同限制，在服务期内是不变的，且合同到期后价格也需要协商确定。招标合同期限一般是2到3年居多，每个项目定价也不完全一致。可能有的合同到期重签会有变动，但对整体客单价影响不大。</w:t>
            </w:r>
          </w:p>
          <w:p w14:paraId="2B8F57DF" w14:textId="77777777" w:rsidR="0025655D" w:rsidRDefault="00000000">
            <w:pPr>
              <w:ind w:firstLineChars="200" w:firstLine="482"/>
              <w:rPr>
                <w:rFonts w:ascii="宋体" w:eastAsia="宋体" w:hAnsi="宋体" w:cs="宋体" w:hint="eastAsia"/>
                <w:sz w:val="24"/>
                <w:szCs w:val="24"/>
                <w:lang w:eastAsia="zh-CN"/>
              </w:rPr>
            </w:pPr>
            <w:r>
              <w:rPr>
                <w:rFonts w:ascii="宋体" w:eastAsia="宋体" w:hAnsi="宋体" w:cs="宋体" w:hint="eastAsia"/>
                <w:b/>
                <w:bCs/>
                <w:sz w:val="24"/>
                <w:szCs w:val="24"/>
                <w:lang w:eastAsia="zh-CN"/>
              </w:rPr>
              <w:t>5、外延收购的后续计划？</w:t>
            </w:r>
          </w:p>
          <w:p w14:paraId="352AE28D" w14:textId="77B14186"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公司今后对押运业务相关的收购会比较谨慎，因为押运业务整体增长比较有限，且省外押运公司需要考虑距离，人员派驻成本，地域文化差异大等因素</w:t>
            </w:r>
            <w:r w:rsidR="00BF5EEA">
              <w:rPr>
                <w:rFonts w:ascii="宋体" w:eastAsia="宋体" w:hAnsi="宋体" w:cs="宋体" w:hint="eastAsia"/>
                <w:sz w:val="24"/>
                <w:szCs w:val="24"/>
                <w:lang w:eastAsia="zh-CN"/>
              </w:rPr>
              <w:t>。</w:t>
            </w:r>
            <w:r>
              <w:rPr>
                <w:rFonts w:ascii="宋体" w:eastAsia="宋体" w:hAnsi="宋体" w:cs="宋体" w:hint="eastAsia"/>
                <w:sz w:val="24"/>
                <w:szCs w:val="24"/>
                <w:lang w:eastAsia="zh-CN"/>
              </w:rPr>
              <w:t>公</w:t>
            </w:r>
            <w:r>
              <w:rPr>
                <w:rFonts w:ascii="宋体" w:eastAsia="宋体" w:hAnsi="宋体" w:cs="宋体" w:hint="eastAsia"/>
                <w:sz w:val="24"/>
                <w:szCs w:val="24"/>
                <w:lang w:eastAsia="zh-CN"/>
              </w:rPr>
              <w:lastRenderedPageBreak/>
              <w:t>司的收购将侧重于借着当地的押运企业来开发带动我们成熟业务的异地复制。</w:t>
            </w:r>
          </w:p>
          <w:p w14:paraId="4941FB36" w14:textId="77777777" w:rsidR="0025655D" w:rsidRDefault="00000000">
            <w:pPr>
              <w:ind w:firstLineChars="200" w:firstLine="482"/>
              <w:rPr>
                <w:rFonts w:ascii="宋体" w:eastAsia="宋体" w:hAnsi="宋体" w:cs="宋体" w:hint="eastAsia"/>
                <w:b/>
                <w:bCs/>
                <w:sz w:val="24"/>
                <w:szCs w:val="24"/>
              </w:rPr>
            </w:pPr>
            <w:r>
              <w:rPr>
                <w:rFonts w:ascii="宋体" w:eastAsia="宋体" w:hAnsi="宋体" w:cs="宋体" w:hint="eastAsia"/>
                <w:b/>
                <w:bCs/>
                <w:sz w:val="24"/>
                <w:szCs w:val="24"/>
                <w:lang w:eastAsia="zh-CN"/>
              </w:rPr>
              <w:t>6、公司海外安保</w:t>
            </w:r>
            <w:proofErr w:type="spellStart"/>
            <w:r>
              <w:rPr>
                <w:rFonts w:ascii="宋体" w:eastAsia="宋体" w:hAnsi="宋体" w:cs="宋体" w:hint="eastAsia"/>
                <w:b/>
                <w:bCs/>
                <w:sz w:val="24"/>
                <w:szCs w:val="24"/>
              </w:rPr>
              <w:t>的布局</w:t>
            </w:r>
            <w:proofErr w:type="spellEnd"/>
            <w:r>
              <w:rPr>
                <w:rFonts w:ascii="宋体" w:eastAsia="宋体" w:hAnsi="宋体" w:cs="宋体" w:hint="eastAsia"/>
                <w:b/>
                <w:bCs/>
                <w:sz w:val="24"/>
                <w:szCs w:val="24"/>
              </w:rPr>
              <w:t>？</w:t>
            </w:r>
          </w:p>
          <w:p w14:paraId="034F251B" w14:textId="662BAF68"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海外安保今年会有一些变化，主要是做一带一路企业的内保。公司需要从现有的人员中挑选出一部分进行培训，然后去满足这块的需求。海外安保没有像金融押运这样的强资质要求，目前这块业务还处于起步阶段，所以终局体量有多大、市场规模增速有多高、现有的安保企业在海外业务上的竞争格局等都还不明确。</w:t>
            </w:r>
          </w:p>
          <w:p w14:paraId="0E4F3229" w14:textId="77777777" w:rsidR="0025655D" w:rsidRDefault="00000000">
            <w:pPr>
              <w:ind w:firstLineChars="200" w:firstLine="482"/>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7、应急安防中基层治理业务增长比较快，未来的发展展望？</w:t>
            </w:r>
          </w:p>
          <w:p w14:paraId="0F440EF7" w14:textId="77777777"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基层治理业务受经济大环境和政府财政支出影响，今年的实际营收低于此前预期。这块业务在规划上可以向省外扩张，但是由于我们提供的主要是系统和管理模式，在当地需要寻找合适的落地主体，目前还是先以省内为主。</w:t>
            </w:r>
          </w:p>
          <w:p w14:paraId="40FEC976" w14:textId="4A05A520"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安全应急板块包含业务相对比较杂，最大的一块是涉案财</w:t>
            </w:r>
            <w:r w:rsidR="00BF5EEA">
              <w:rPr>
                <w:rFonts w:ascii="宋体" w:eastAsia="宋体" w:hAnsi="宋体" w:cs="宋体" w:hint="eastAsia"/>
                <w:sz w:val="24"/>
                <w:szCs w:val="24"/>
                <w:lang w:eastAsia="zh-CN"/>
              </w:rPr>
              <w:t>物</w:t>
            </w:r>
            <w:r>
              <w:rPr>
                <w:rFonts w:ascii="宋体" w:eastAsia="宋体" w:hAnsi="宋体" w:cs="宋体" w:hint="eastAsia"/>
                <w:sz w:val="24"/>
                <w:szCs w:val="24"/>
                <w:lang w:eastAsia="zh-CN"/>
              </w:rPr>
              <w:t>管理，基本</w:t>
            </w:r>
            <w:r w:rsidR="00BF5EEA">
              <w:rPr>
                <w:rFonts w:ascii="宋体" w:eastAsia="宋体" w:hAnsi="宋体" w:cs="宋体" w:hint="eastAsia"/>
                <w:sz w:val="24"/>
                <w:szCs w:val="24"/>
                <w:lang w:eastAsia="zh-CN"/>
              </w:rPr>
              <w:t>盘</w:t>
            </w:r>
            <w:r>
              <w:rPr>
                <w:rFonts w:ascii="宋体" w:eastAsia="宋体" w:hAnsi="宋体" w:cs="宋体" w:hint="eastAsia"/>
                <w:sz w:val="24"/>
                <w:szCs w:val="24"/>
                <w:lang w:eastAsia="zh-CN"/>
              </w:rPr>
              <w:t>是稳</w:t>
            </w:r>
            <w:r w:rsidR="00BF5EEA">
              <w:rPr>
                <w:rFonts w:ascii="宋体" w:eastAsia="宋体" w:hAnsi="宋体" w:cs="宋体" w:hint="eastAsia"/>
                <w:sz w:val="24"/>
                <w:szCs w:val="24"/>
                <w:lang w:eastAsia="zh-CN"/>
              </w:rPr>
              <w:t>中</w:t>
            </w:r>
            <w:r>
              <w:rPr>
                <w:rFonts w:ascii="宋体" w:eastAsia="宋体" w:hAnsi="宋体" w:cs="宋体" w:hint="eastAsia"/>
                <w:sz w:val="24"/>
                <w:szCs w:val="24"/>
                <w:lang w:eastAsia="zh-CN"/>
              </w:rPr>
              <w:t>有增的，大的突破取决于处置端，因为公司现在处置的范围只涉及刑事诉讼和纪检条线，还没有涉及到民事诉讼的证物和罚没物品。子公司温州安邦目前在试点民事诉讼</w:t>
            </w:r>
            <w:r w:rsidR="00BF5EEA">
              <w:rPr>
                <w:rFonts w:ascii="宋体" w:eastAsia="宋体" w:hAnsi="宋体" w:cs="宋体" w:hint="eastAsia"/>
                <w:sz w:val="24"/>
                <w:szCs w:val="24"/>
                <w:lang w:eastAsia="zh-CN"/>
              </w:rPr>
              <w:t>证物处置</w:t>
            </w:r>
            <w:r>
              <w:rPr>
                <w:rFonts w:ascii="宋体" w:eastAsia="宋体" w:hAnsi="宋体" w:cs="宋体" w:hint="eastAsia"/>
                <w:sz w:val="24"/>
                <w:szCs w:val="24"/>
                <w:lang w:eastAsia="zh-CN"/>
              </w:rPr>
              <w:t>这块业务，试点如果成功且在全省推开，会有较大增量，但这是一个循序渐进的过程。</w:t>
            </w:r>
          </w:p>
          <w:p w14:paraId="09838265" w14:textId="77777777" w:rsidR="0025655D" w:rsidRDefault="00000000">
            <w:pPr>
              <w:ind w:firstLineChars="200" w:firstLine="482"/>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8、综合安防业务的增长驱动主要在哪里？</w:t>
            </w:r>
          </w:p>
          <w:p w14:paraId="152E1DF5" w14:textId="77777777"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常规需求有一些，展会活动也有一些，智慧校园、智慧监狱也有一些增量，但也会面临一定的验收和结算风险。</w:t>
            </w:r>
          </w:p>
          <w:p w14:paraId="253FFB80" w14:textId="77777777" w:rsidR="0025655D" w:rsidRDefault="00000000">
            <w:pPr>
              <w:ind w:firstLineChars="200" w:firstLine="482"/>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9、公司应收账款规模如何？坏账风险大吗？</w:t>
            </w:r>
          </w:p>
          <w:p w14:paraId="22A01985" w14:textId="24D86BDC"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今年应收账款比往年有所增加。坏账每年都会计提，并且计提比例比较大，</w:t>
            </w:r>
            <w:r w:rsidR="00312DF8">
              <w:rPr>
                <w:rFonts w:ascii="宋体" w:eastAsia="宋体" w:hAnsi="宋体" w:cs="宋体" w:hint="eastAsia"/>
                <w:sz w:val="24"/>
                <w:szCs w:val="24"/>
                <w:lang w:eastAsia="zh-CN"/>
              </w:rPr>
              <w:t>一年内的应收账款坏账计提比例</w:t>
            </w:r>
            <w:r>
              <w:rPr>
                <w:rFonts w:ascii="宋体" w:eastAsia="宋体" w:hAnsi="宋体" w:cs="宋体" w:hint="eastAsia"/>
                <w:sz w:val="24"/>
                <w:szCs w:val="24"/>
                <w:lang w:eastAsia="zh-CN"/>
              </w:rPr>
              <w:t>在10%的水平。政府端受财政支出影响，部分项目可能账期久一点，但坏账风险不大。</w:t>
            </w:r>
          </w:p>
          <w:p w14:paraId="72FFC9BF" w14:textId="77777777" w:rsidR="0025655D" w:rsidRDefault="00000000">
            <w:pPr>
              <w:ind w:firstLineChars="200" w:firstLine="482"/>
              <w:rPr>
                <w:rFonts w:ascii="宋体" w:eastAsia="宋体" w:hAnsi="宋体" w:cs="宋体" w:hint="eastAsia"/>
                <w:b/>
                <w:bCs/>
                <w:sz w:val="24"/>
                <w:szCs w:val="24"/>
                <w:lang w:eastAsia="zh-CN"/>
              </w:rPr>
            </w:pPr>
            <w:r>
              <w:rPr>
                <w:rFonts w:ascii="宋体" w:eastAsia="宋体" w:hAnsi="宋体" w:cs="宋体" w:hint="eastAsia"/>
                <w:b/>
                <w:bCs/>
                <w:sz w:val="24"/>
                <w:szCs w:val="24"/>
                <w:lang w:eastAsia="zh-CN"/>
              </w:rPr>
              <w:t>10、未来成长的驱动和规划？</w:t>
            </w:r>
          </w:p>
          <w:p w14:paraId="59EB9AB2" w14:textId="0EE14E58" w:rsidR="0025655D" w:rsidRDefault="00000000">
            <w:pPr>
              <w:ind w:firstLineChars="200" w:firstLine="480"/>
              <w:rPr>
                <w:rFonts w:ascii="宋体" w:eastAsia="宋体" w:hAnsi="宋体" w:cs="宋体" w:hint="eastAsia"/>
                <w:sz w:val="24"/>
                <w:szCs w:val="24"/>
                <w:lang w:eastAsia="zh-CN"/>
              </w:rPr>
            </w:pPr>
            <w:r>
              <w:rPr>
                <w:rFonts w:ascii="宋体" w:eastAsia="宋体" w:hAnsi="宋体" w:cs="宋体" w:hint="eastAsia"/>
                <w:sz w:val="24"/>
                <w:szCs w:val="24"/>
                <w:lang w:eastAsia="zh-CN"/>
              </w:rPr>
              <w:t>保持原有业务稳中有升，新业务看基层治理服务的增量。无人机业务应用场景主要是警务和政务服务，包括毒品排查、活动安保、政府测绘、电网检测、海防等。无人机业务要做拓展的话，主要需要考虑的是应用场景的问题，要为特定场景</w:t>
            </w:r>
            <w:r w:rsidR="00D659A0">
              <w:rPr>
                <w:rFonts w:ascii="宋体" w:eastAsia="宋体" w:hAnsi="宋体" w:cs="宋体" w:hint="eastAsia"/>
                <w:sz w:val="24"/>
                <w:szCs w:val="24"/>
                <w:lang w:eastAsia="zh-CN"/>
              </w:rPr>
              <w:t>设计</w:t>
            </w:r>
            <w:r>
              <w:rPr>
                <w:rFonts w:ascii="宋体" w:eastAsia="宋体" w:hAnsi="宋体" w:cs="宋体" w:hint="eastAsia"/>
                <w:sz w:val="24"/>
                <w:szCs w:val="24"/>
                <w:lang w:eastAsia="zh-CN"/>
              </w:rPr>
              <w:t>特定的解决方案、适配特定的机型、建立合适的管理系统。公司现有无人机业务主要着眼于报文的收发系统和整体的安全底座，体现到应用层面就是针对不同应用场景设计各种解决方案</w:t>
            </w:r>
            <w:r w:rsidR="00D659A0">
              <w:rPr>
                <w:rFonts w:ascii="宋体" w:eastAsia="宋体" w:hAnsi="宋体" w:cs="宋体" w:hint="eastAsia"/>
                <w:sz w:val="24"/>
                <w:szCs w:val="24"/>
                <w:lang w:eastAsia="zh-CN"/>
              </w:rPr>
              <w:t>并提供相应服务</w:t>
            </w:r>
            <w:r>
              <w:rPr>
                <w:rFonts w:ascii="宋体" w:eastAsia="宋体" w:hAnsi="宋体" w:cs="宋体" w:hint="eastAsia"/>
                <w:sz w:val="24"/>
                <w:szCs w:val="24"/>
                <w:lang w:eastAsia="zh-CN"/>
              </w:rPr>
              <w:t>。</w:t>
            </w:r>
          </w:p>
          <w:p w14:paraId="3E9A97AC" w14:textId="77777777" w:rsidR="0025655D" w:rsidRDefault="0025655D">
            <w:pPr>
              <w:pStyle w:val="a4"/>
              <w:ind w:firstLineChars="0" w:firstLine="0"/>
              <w:rPr>
                <w:lang w:eastAsia="zh-CN"/>
              </w:rPr>
            </w:pPr>
          </w:p>
        </w:tc>
      </w:tr>
      <w:tr w:rsidR="0025655D" w14:paraId="10EA9085" w14:textId="77777777">
        <w:trPr>
          <w:trHeight w:val="683"/>
        </w:trPr>
        <w:tc>
          <w:tcPr>
            <w:tcW w:w="1574" w:type="dxa"/>
          </w:tcPr>
          <w:p w14:paraId="27BF79AD" w14:textId="77777777" w:rsidR="0025655D" w:rsidRDefault="00000000">
            <w:pPr>
              <w:pStyle w:val="TableText"/>
              <w:spacing w:before="67" w:line="229" w:lineRule="auto"/>
              <w:ind w:left="318" w:right="301" w:firstLine="12"/>
              <w:rPr>
                <w:rFonts w:hint="eastAsia"/>
              </w:rPr>
            </w:pPr>
            <w:proofErr w:type="spellStart"/>
            <w:r>
              <w:rPr>
                <w:b/>
                <w:bCs/>
                <w:spacing w:val="-9"/>
              </w:rPr>
              <w:lastRenderedPageBreak/>
              <w:t>附件清单</w:t>
            </w:r>
            <w:proofErr w:type="spellEnd"/>
            <w:r>
              <w:rPr>
                <w:spacing w:val="1"/>
              </w:rPr>
              <w:t xml:space="preserve"> </w:t>
            </w:r>
            <w:r>
              <w:rPr>
                <w:b/>
                <w:bCs/>
                <w:spacing w:val="-6"/>
              </w:rPr>
              <w:t>（</w:t>
            </w:r>
            <w:proofErr w:type="spellStart"/>
            <w:r>
              <w:rPr>
                <w:b/>
                <w:bCs/>
                <w:spacing w:val="-6"/>
              </w:rPr>
              <w:t>如有</w:t>
            </w:r>
            <w:proofErr w:type="spellEnd"/>
            <w:r>
              <w:rPr>
                <w:b/>
                <w:bCs/>
                <w:spacing w:val="-6"/>
              </w:rPr>
              <w:t>）</w:t>
            </w:r>
          </w:p>
        </w:tc>
        <w:tc>
          <w:tcPr>
            <w:tcW w:w="8450" w:type="dxa"/>
            <w:gridSpan w:val="2"/>
            <w:vAlign w:val="center"/>
          </w:tcPr>
          <w:p w14:paraId="77ABB278" w14:textId="77777777" w:rsidR="0025655D" w:rsidRDefault="00000000">
            <w:pPr>
              <w:pStyle w:val="TableText"/>
              <w:spacing w:before="144" w:line="220" w:lineRule="auto"/>
              <w:ind w:left="134"/>
              <w:jc w:val="both"/>
              <w:rPr>
                <w:rFonts w:hint="eastAsia"/>
              </w:rPr>
            </w:pPr>
            <w:r>
              <w:t>无</w:t>
            </w:r>
          </w:p>
        </w:tc>
      </w:tr>
    </w:tbl>
    <w:p w14:paraId="11B6F996" w14:textId="77777777" w:rsidR="0025655D" w:rsidRDefault="0025655D"/>
    <w:sectPr w:rsidR="0025655D">
      <w:pgSz w:w="11907" w:h="16841"/>
      <w:pgMar w:top="1320" w:right="842" w:bottom="0" w:left="10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D594F" w14:textId="77777777" w:rsidR="003F2D23" w:rsidRDefault="003F2D23">
      <w:r>
        <w:separator/>
      </w:r>
    </w:p>
  </w:endnote>
  <w:endnote w:type="continuationSeparator" w:id="0">
    <w:p w14:paraId="1EDD54F2" w14:textId="77777777" w:rsidR="003F2D23" w:rsidRDefault="003F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7E19F" w14:textId="77777777" w:rsidR="003F2D23" w:rsidRDefault="003F2D23">
      <w:r>
        <w:separator/>
      </w:r>
    </w:p>
  </w:footnote>
  <w:footnote w:type="continuationSeparator" w:id="0">
    <w:p w14:paraId="3239EC46" w14:textId="77777777" w:rsidR="003F2D23" w:rsidRDefault="003F2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proofState w:spelling="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25655D"/>
    <w:rsid w:val="0025655D"/>
    <w:rsid w:val="00312DF8"/>
    <w:rsid w:val="003F2D23"/>
    <w:rsid w:val="009624C6"/>
    <w:rsid w:val="009F1215"/>
    <w:rsid w:val="00BF5EEA"/>
    <w:rsid w:val="00CF0183"/>
    <w:rsid w:val="00D659A0"/>
    <w:rsid w:val="0D4D07F9"/>
    <w:rsid w:val="24A63E9F"/>
    <w:rsid w:val="28E630B9"/>
    <w:rsid w:val="37041A0B"/>
    <w:rsid w:val="3E0B0815"/>
    <w:rsid w:val="418C385E"/>
    <w:rsid w:val="50A877FC"/>
    <w:rsid w:val="517B4D82"/>
    <w:rsid w:val="6FB4428E"/>
    <w:rsid w:val="7CA91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F5F1"/>
  <w15:docId w15:val="{0544D913-D022-45FD-8DF7-1F8ABF9E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 w:type="paragraph" w:styleId="a4">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投资者关系活动记录表</dc:title>
  <dc:creator>xfzj</dc:creator>
  <cp:lastModifiedBy>lijun zhou</cp:lastModifiedBy>
  <cp:revision>5</cp:revision>
  <dcterms:created xsi:type="dcterms:W3CDTF">2024-04-26T17:48:00Z</dcterms:created>
  <dcterms:modified xsi:type="dcterms:W3CDTF">2024-11-22T12:46:00Z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2024-05-31T09:14:46Z</vt:filetime>
  </property>
  <property fmtid="{D5CDD505-2E9C-101B-9397-08002B2CF9AE}" pid="4" name="KSOProductBuildVer">
    <vt:lpwstr>2052-11.8.2.12251</vt:lpwstr>
  </property>
  <property fmtid="{D5CDD505-2E9C-101B-9397-08002B2CF9AE}" pid="5" name="ICV">
    <vt:lpwstr>2B91A620EF514725A8FE8A41EECCA22D</vt:lpwstr>
  </property>
</Properties>
</file>