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D72B7">
      <w:pPr>
        <w:adjustRightInd w:val="0"/>
        <w:snapToGrid w:val="0"/>
        <w:spacing w:line="360" w:lineRule="auto"/>
        <w:jc w:val="center"/>
        <w:rPr>
          <w:rFonts w:ascii="宋体" w:hAnsi="宋体"/>
        </w:rPr>
      </w:pPr>
      <w:r>
        <w:rPr>
          <w:rFonts w:hint="eastAsia" w:ascii="宋体" w:hAnsi="宋体"/>
        </w:rPr>
        <w:t xml:space="preserve">证券代码：603637          </w:t>
      </w:r>
      <w:r>
        <w:rPr>
          <w:rFonts w:hint="eastAsia" w:ascii="宋体" w:hAnsi="宋体"/>
          <w:lang w:val="en-US" w:eastAsia="zh-CN"/>
        </w:rPr>
        <w:t xml:space="preserve">                               </w:t>
      </w:r>
      <w:r>
        <w:rPr>
          <w:rFonts w:hint="eastAsia" w:ascii="宋体" w:hAnsi="宋体"/>
        </w:rPr>
        <w:t xml:space="preserve">   证券简称：镇海股份             </w:t>
      </w:r>
    </w:p>
    <w:p w14:paraId="4278A8C1">
      <w:pPr>
        <w:adjustRightInd w:val="0"/>
        <w:snapToGrid w:val="0"/>
        <w:spacing w:line="360" w:lineRule="auto"/>
        <w:ind w:firstLine="480" w:firstLineChars="200"/>
        <w:rPr>
          <w:rFonts w:ascii="宋体" w:hAnsi="宋体"/>
          <w:sz w:val="24"/>
        </w:rPr>
      </w:pPr>
    </w:p>
    <w:p w14:paraId="35796CF1">
      <w:pPr>
        <w:snapToGrid w:val="0"/>
        <w:spacing w:before="156" w:beforeLines="50" w:line="360" w:lineRule="exact"/>
        <w:jc w:val="center"/>
        <w:rPr>
          <w:rFonts w:ascii="宋体" w:hAnsi="宋体"/>
          <w:b/>
          <w:bCs/>
          <w:color w:val="FF0000"/>
          <w:sz w:val="30"/>
          <w:szCs w:val="30"/>
        </w:rPr>
      </w:pPr>
      <w:r>
        <w:rPr>
          <w:rFonts w:hint="eastAsia" w:ascii="宋体" w:hAnsi="宋体"/>
          <w:b/>
          <w:bCs/>
          <w:color w:val="FF0000"/>
          <w:sz w:val="30"/>
          <w:szCs w:val="30"/>
        </w:rPr>
        <w:t>镇海石化工程股份有限公司</w:t>
      </w:r>
    </w:p>
    <w:p w14:paraId="356FC69C">
      <w:pPr>
        <w:snapToGrid w:val="0"/>
        <w:spacing w:before="156" w:beforeLines="50" w:line="360" w:lineRule="exact"/>
        <w:jc w:val="center"/>
        <w:rPr>
          <w:rFonts w:hint="default" w:ascii="宋体" w:hAnsi="宋体" w:eastAsia="宋体"/>
          <w:b/>
          <w:bCs/>
          <w:color w:val="FF0000"/>
          <w:sz w:val="24"/>
          <w:lang w:val="en-US" w:eastAsia="zh-CN"/>
        </w:rPr>
      </w:pPr>
      <w:r>
        <w:rPr>
          <w:rFonts w:hint="eastAsia" w:ascii="宋体" w:hAnsi="宋体"/>
          <w:b/>
          <w:bCs/>
          <w:color w:val="FF0000"/>
          <w:sz w:val="30"/>
          <w:szCs w:val="30"/>
          <w:lang w:val="en-US" w:eastAsia="zh-CN"/>
        </w:rPr>
        <w:t>投资者关系活动记录表</w:t>
      </w:r>
    </w:p>
    <w:p w14:paraId="5A5489A6">
      <w:pPr>
        <w:jc w:val="center"/>
        <w:rPr>
          <w:rFonts w:ascii="宋体" w:hAnsi="宋体"/>
          <w:sz w:val="24"/>
        </w:rPr>
      </w:pPr>
    </w:p>
    <w:p w14:paraId="125F0C31">
      <w:pPr>
        <w:jc w:val="right"/>
        <w:rPr>
          <w:rFonts w:ascii="宋体" w:hAnsi="宋体"/>
          <w:sz w:val="24"/>
        </w:rPr>
      </w:pPr>
      <w:r>
        <w:rPr>
          <w:rFonts w:hint="eastAsia" w:ascii="宋体" w:hAnsi="宋体"/>
        </w:rPr>
        <w:t>调研编号：20</w:t>
      </w:r>
      <w:r>
        <w:rPr>
          <w:rFonts w:hint="eastAsia" w:ascii="宋体" w:hAnsi="宋体"/>
          <w:lang w:val="en-US" w:eastAsia="zh-CN"/>
        </w:rPr>
        <w:t>2411</w:t>
      </w:r>
      <w:r>
        <w:rPr>
          <w:rFonts w:hint="eastAsia" w:ascii="宋体" w:hAnsi="宋体"/>
        </w:rPr>
        <w:t>01</w:t>
      </w:r>
    </w:p>
    <w:tbl>
      <w:tblPr>
        <w:tblStyle w:val="8"/>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2"/>
        <w:gridCol w:w="7348"/>
      </w:tblGrid>
      <w:tr w14:paraId="12B2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8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A56DC1">
            <w:pPr>
              <w:pStyle w:val="6"/>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投资者关系活动类别</w:t>
            </w:r>
          </w:p>
        </w:tc>
        <w:tc>
          <w:tcPr>
            <w:tcW w:w="4144" w:type="pct"/>
            <w:tcBorders>
              <w:top w:val="single" w:color="000000" w:sz="6" w:space="0"/>
              <w:left w:val="nil"/>
              <w:bottom w:val="single" w:color="000000" w:sz="6" w:space="0"/>
              <w:right w:val="single" w:color="000000" w:sz="6" w:space="0"/>
            </w:tcBorders>
            <w:shd w:val="clear" w:color="auto" w:fill="auto"/>
            <w:vAlign w:val="top"/>
          </w:tcPr>
          <w:p w14:paraId="57676515">
            <w:pPr>
              <w:pStyle w:val="6"/>
              <w:keepNext w:val="0"/>
              <w:keepLines w:val="0"/>
              <w:widowControl/>
              <w:suppressLineNumbers w:val="0"/>
              <w:spacing w:before="0" w:beforeAutospacing="1" w:after="0" w:afterAutospacing="1"/>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rPr>
              <w:t xml:space="preserve">特定对象调研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分析师会议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 xml:space="preserve">媒体采访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业绩说明会</w:t>
            </w:r>
          </w:p>
          <w:p w14:paraId="4B7CEFBE">
            <w:pPr>
              <w:pStyle w:val="6"/>
              <w:keepNext w:val="0"/>
              <w:keepLines w:val="0"/>
              <w:widowControl/>
              <w:suppressLineNumbers w:val="0"/>
              <w:spacing w:before="0" w:beforeAutospacing="1" w:after="0" w:afterAutospacing="1"/>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新闻发布会</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路演活动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rPr>
              <w:t>现场参观</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 xml:space="preserve">其他 </w:t>
            </w:r>
          </w:p>
        </w:tc>
      </w:tr>
      <w:tr w14:paraId="4C38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3A7BF21C">
            <w:pPr>
              <w:pStyle w:val="6"/>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参与单位名称及人员姓名</w:t>
            </w:r>
          </w:p>
        </w:tc>
        <w:tc>
          <w:tcPr>
            <w:tcW w:w="4144" w:type="pct"/>
            <w:tcBorders>
              <w:top w:val="nil"/>
              <w:left w:val="nil"/>
              <w:bottom w:val="single" w:color="000000" w:sz="6" w:space="0"/>
              <w:right w:val="single" w:color="000000" w:sz="6" w:space="0"/>
            </w:tcBorders>
            <w:shd w:val="clear" w:color="auto" w:fill="auto"/>
            <w:vAlign w:val="top"/>
          </w:tcPr>
          <w:p w14:paraId="290D7B15">
            <w:pPr>
              <w:rPr>
                <w:rFonts w:hint="default" w:eastAsia="宋体"/>
                <w:lang w:val="en-US" w:eastAsia="zh-CN"/>
              </w:rPr>
            </w:pPr>
            <w:r>
              <w:rPr>
                <w:rFonts w:hint="eastAsia"/>
                <w:lang w:val="en-US" w:eastAsia="zh-CN"/>
              </w:rPr>
              <w:t>招商基金赵宗原、申万菱信基金路辛之、上海贲舜私募基金聂炜、华宝基金郭祝同、财通证券郝思行、天风证券任嘉禹</w:t>
            </w:r>
          </w:p>
        </w:tc>
      </w:tr>
      <w:tr w14:paraId="0A97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32AA028E">
            <w:pPr>
              <w:pStyle w:val="6"/>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时间</w:t>
            </w:r>
          </w:p>
        </w:tc>
        <w:tc>
          <w:tcPr>
            <w:tcW w:w="4144" w:type="pct"/>
            <w:tcBorders>
              <w:top w:val="nil"/>
              <w:left w:val="nil"/>
              <w:bottom w:val="single" w:color="000000" w:sz="6" w:space="0"/>
              <w:right w:val="single" w:color="000000" w:sz="6" w:space="0"/>
            </w:tcBorders>
            <w:shd w:val="clear" w:color="auto" w:fill="auto"/>
            <w:vAlign w:val="top"/>
          </w:tcPr>
          <w:p w14:paraId="6829AEA5">
            <w:pPr>
              <w:pStyle w:val="6"/>
              <w:keepNext w:val="0"/>
              <w:keepLines w:val="0"/>
              <w:widowControl/>
              <w:suppressLineNumbers w:val="0"/>
              <w:spacing w:before="0" w:beforeAutospacing="1" w:after="0" w:afterAutospacing="1"/>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2024年11月22日（星期五）14:00-16:00</w:t>
            </w:r>
          </w:p>
        </w:tc>
      </w:tr>
      <w:tr w14:paraId="5A11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097CEE00">
            <w:pPr>
              <w:pStyle w:val="6"/>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地点</w:t>
            </w:r>
          </w:p>
        </w:tc>
        <w:tc>
          <w:tcPr>
            <w:tcW w:w="4144" w:type="pct"/>
            <w:tcBorders>
              <w:top w:val="nil"/>
              <w:left w:val="nil"/>
              <w:bottom w:val="single" w:color="000000" w:sz="6" w:space="0"/>
              <w:right w:val="single" w:color="000000" w:sz="6" w:space="0"/>
            </w:tcBorders>
            <w:shd w:val="clear" w:color="auto" w:fill="auto"/>
            <w:vAlign w:val="top"/>
          </w:tcPr>
          <w:p w14:paraId="016FF768">
            <w:pPr>
              <w:pStyle w:val="6"/>
              <w:keepNext w:val="0"/>
              <w:keepLines w:val="0"/>
              <w:widowControl/>
              <w:suppressLineNumbers w:val="0"/>
              <w:spacing w:before="0" w:beforeAutospacing="1" w:after="0" w:afterAutospacing="1"/>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石化大厦414会议室</w:t>
            </w:r>
          </w:p>
        </w:tc>
      </w:tr>
      <w:tr w14:paraId="2B9D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614B453A">
            <w:pPr>
              <w:pStyle w:val="6"/>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上市公司接待人员姓名</w:t>
            </w:r>
          </w:p>
        </w:tc>
        <w:tc>
          <w:tcPr>
            <w:tcW w:w="4144" w:type="pct"/>
            <w:tcBorders>
              <w:top w:val="nil"/>
              <w:left w:val="nil"/>
              <w:bottom w:val="single" w:color="000000" w:sz="6" w:space="0"/>
              <w:right w:val="single" w:color="000000" w:sz="6" w:space="0"/>
            </w:tcBorders>
            <w:shd w:val="clear" w:color="auto" w:fill="auto"/>
            <w:vAlign w:val="top"/>
          </w:tcPr>
          <w:p w14:paraId="495B9842">
            <w:pPr>
              <w:rPr>
                <w:rFonts w:hint="default"/>
                <w:sz w:val="21"/>
                <w:szCs w:val="21"/>
                <w:lang w:val="en-US" w:eastAsia="zh-CN"/>
              </w:rPr>
            </w:pPr>
            <w:r>
              <w:rPr>
                <w:rFonts w:hint="eastAsia"/>
                <w:sz w:val="21"/>
                <w:szCs w:val="21"/>
                <w:lang w:val="en-US" w:eastAsia="zh-CN"/>
              </w:rPr>
              <w:t>财务总监张婧</w:t>
            </w:r>
          </w:p>
          <w:p w14:paraId="291C3D5C">
            <w:pPr>
              <w:rPr>
                <w:rFonts w:hint="eastAsia"/>
                <w:sz w:val="21"/>
                <w:szCs w:val="21"/>
                <w:lang w:val="en-US" w:eastAsia="zh-CN"/>
              </w:rPr>
            </w:pPr>
            <w:r>
              <w:rPr>
                <w:rFonts w:hint="eastAsia"/>
                <w:sz w:val="21"/>
                <w:szCs w:val="21"/>
                <w:lang w:val="en-US" w:eastAsia="zh-CN"/>
              </w:rPr>
              <w:t>董事会秘书石丹</w:t>
            </w:r>
          </w:p>
          <w:p w14:paraId="0DC7FCBD">
            <w:pPr>
              <w:rPr>
                <w:rFonts w:hint="eastAsia" w:asciiTheme="minorEastAsia" w:hAnsiTheme="minorEastAsia" w:eastAsiaTheme="minorEastAsia" w:cstheme="minorEastAsia"/>
                <w:sz w:val="21"/>
                <w:szCs w:val="21"/>
              </w:rPr>
            </w:pPr>
            <w:r>
              <w:rPr>
                <w:rFonts w:hint="eastAsia"/>
                <w:sz w:val="21"/>
                <w:szCs w:val="21"/>
                <w:lang w:val="en-US" w:eastAsia="zh-CN"/>
              </w:rPr>
              <w:t>证券事务代表王德录</w:t>
            </w:r>
          </w:p>
        </w:tc>
      </w:tr>
      <w:tr w14:paraId="7A10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6B0F16F0">
            <w:pPr>
              <w:pStyle w:val="6"/>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投资者关系活动主要内容介绍</w:t>
            </w:r>
          </w:p>
        </w:tc>
        <w:tc>
          <w:tcPr>
            <w:tcW w:w="4144" w:type="pct"/>
            <w:tcBorders>
              <w:top w:val="nil"/>
              <w:left w:val="nil"/>
              <w:bottom w:val="single" w:color="000000" w:sz="6" w:space="0"/>
              <w:right w:val="single" w:color="000000" w:sz="6" w:space="0"/>
            </w:tcBorders>
            <w:shd w:val="clear" w:color="auto" w:fill="auto"/>
            <w:vAlign w:val="top"/>
          </w:tcPr>
          <w:p w14:paraId="29E4FBC7">
            <w:pPr>
              <w:ind w:firstLine="422" w:firstLineChars="200"/>
              <w:rPr>
                <w:rFonts w:hint="eastAsia"/>
                <w:b/>
                <w:bCs/>
                <w:lang w:val="en-US" w:eastAsia="zh-CN"/>
              </w:rPr>
            </w:pPr>
            <w:bookmarkStart w:id="0" w:name="_GoBack"/>
            <w:bookmarkEnd w:id="0"/>
          </w:p>
          <w:p w14:paraId="6D0D600D">
            <w:pPr>
              <w:ind w:firstLine="422" w:firstLineChars="200"/>
              <w:rPr>
                <w:rFonts w:hint="eastAsia"/>
                <w:b/>
                <w:bCs/>
                <w:lang w:val="en-US" w:eastAsia="zh-CN"/>
              </w:rPr>
            </w:pPr>
            <w:r>
              <w:rPr>
                <w:rFonts w:hint="eastAsia"/>
                <w:b/>
                <w:bCs/>
                <w:lang w:val="en-US" w:eastAsia="zh-CN"/>
              </w:rPr>
              <w:t>主要交流内容：</w:t>
            </w:r>
          </w:p>
          <w:p w14:paraId="38FAD724">
            <w:pPr>
              <w:ind w:firstLine="422" w:firstLineChars="200"/>
              <w:rPr>
                <w:rFonts w:hint="default"/>
                <w:b/>
                <w:bCs/>
                <w:lang w:val="en-US" w:eastAsia="zh-CN"/>
              </w:rPr>
            </w:pPr>
          </w:p>
          <w:p w14:paraId="2FEE1927">
            <w:pPr>
              <w:pStyle w:val="17"/>
              <w:bidi w:val="0"/>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1、近期市场对煤化工关注较多，我们是否能够参与其中？</w:t>
            </w:r>
          </w:p>
          <w:p w14:paraId="0D33F854">
            <w:pPr>
              <w:pStyle w:val="17"/>
              <w:bidi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答：</w:t>
            </w:r>
            <w:r>
              <w:rPr>
                <w:rFonts w:hint="eastAsia" w:asciiTheme="minorEastAsia" w:hAnsiTheme="minorEastAsia" w:eastAsiaTheme="minorEastAsia" w:cstheme="minorEastAsia"/>
                <w:szCs w:val="21"/>
                <w:lang w:val="en-US" w:eastAsia="zh-CN"/>
              </w:rPr>
              <w:t>近期新疆、榆林、内蒙等地区煤化工的投资引起市场普遍关注，随着煤化工行业的兴起，市场对石化技术服务的需求增加，为公司提供了新的业务机会</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煤化工和石油化工在硫磺回收工艺上存在相似性，公司具备相关技术和经验。煤化工相关投资正处于早期阶段，实际上公司已经作为联合体成员取得了国家煤化工事故处理实战实训基地（鄂尔多斯）一期工程等煤化工相关标的合同。随着煤化工行业投资逐步深入，公司会综合评估服务成本、经济效益和项目风险，采取稳健的发展策略，积极关注行业动态，进行技术和市场调研，以便更好把握市场机遇。</w:t>
            </w:r>
          </w:p>
          <w:p w14:paraId="0592E56A">
            <w:pPr>
              <w:pStyle w:val="17"/>
              <w:bidi w:val="0"/>
              <w:rPr>
                <w:rFonts w:hint="eastAsia" w:asciiTheme="minorEastAsia" w:hAnsiTheme="minorEastAsia" w:eastAsiaTheme="minorEastAsia" w:cstheme="minorEastAsia"/>
                <w:b/>
                <w:bCs w:val="0"/>
                <w:szCs w:val="21"/>
              </w:rPr>
            </w:pPr>
          </w:p>
          <w:p w14:paraId="137EF267">
            <w:pPr>
              <w:pStyle w:val="17"/>
              <w:bidi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val="0"/>
                <w:szCs w:val="21"/>
              </w:rPr>
              <w:t>2、</w:t>
            </w:r>
            <w:r>
              <w:rPr>
                <w:rFonts w:hint="eastAsia" w:asciiTheme="minorEastAsia" w:hAnsiTheme="minorEastAsia" w:eastAsiaTheme="minorEastAsia" w:cstheme="minorEastAsia"/>
                <w:b/>
                <w:bCs w:val="0"/>
                <w:szCs w:val="21"/>
                <w:lang w:val="en-US" w:eastAsia="zh-CN"/>
              </w:rPr>
              <w:t>近年</w:t>
            </w:r>
            <w:r>
              <w:rPr>
                <w:rFonts w:hint="eastAsia" w:asciiTheme="minorEastAsia" w:hAnsiTheme="minorEastAsia" w:eastAsiaTheme="minorEastAsia" w:cstheme="minorEastAsia"/>
                <w:b/>
                <w:bCs w:val="0"/>
                <w:szCs w:val="21"/>
              </w:rPr>
              <w:t>工程</w:t>
            </w:r>
            <w:r>
              <w:rPr>
                <w:rFonts w:hint="eastAsia" w:asciiTheme="minorEastAsia" w:hAnsiTheme="minorEastAsia" w:eastAsiaTheme="minorEastAsia" w:cstheme="minorEastAsia"/>
                <w:b/>
                <w:bCs w:val="0"/>
                <w:szCs w:val="21"/>
                <w:lang w:val="en-US" w:eastAsia="zh-CN"/>
              </w:rPr>
              <w:t>总</w:t>
            </w:r>
            <w:r>
              <w:rPr>
                <w:rFonts w:hint="eastAsia" w:asciiTheme="minorEastAsia" w:hAnsiTheme="minorEastAsia" w:eastAsiaTheme="minorEastAsia" w:cstheme="minorEastAsia"/>
                <w:b/>
                <w:bCs w:val="0"/>
                <w:szCs w:val="21"/>
              </w:rPr>
              <w:t>承包和设计业务的毛利率</w:t>
            </w:r>
            <w:r>
              <w:rPr>
                <w:rFonts w:hint="eastAsia" w:asciiTheme="minorEastAsia" w:hAnsiTheme="minorEastAsia" w:eastAsiaTheme="minorEastAsia" w:cstheme="minorEastAsia"/>
                <w:b/>
                <w:bCs w:val="0"/>
                <w:szCs w:val="21"/>
                <w:lang w:val="en-US" w:eastAsia="zh-CN"/>
              </w:rPr>
              <w:t>变化幅度较大</w:t>
            </w:r>
            <w:r>
              <w:rPr>
                <w:rFonts w:hint="eastAsia" w:asciiTheme="minorEastAsia" w:hAnsiTheme="minorEastAsia" w:eastAsiaTheme="minorEastAsia" w:cstheme="minorEastAsia"/>
                <w:b/>
                <w:bCs w:val="0"/>
                <w:szCs w:val="21"/>
              </w:rPr>
              <w:t>，是什么原因？</w:t>
            </w:r>
          </w:p>
          <w:p w14:paraId="7EA33A46">
            <w:pPr>
              <w:pStyle w:val="17"/>
              <w:bidi w:val="0"/>
              <w:rPr>
                <w:rFonts w:hint="eastAsia" w:asciiTheme="minorEastAsia" w:hAnsiTheme="minorEastAsia" w:eastAsiaTheme="minorEastAsia" w:cstheme="minorEastAsia"/>
                <w:b/>
                <w:bCs w:val="0"/>
                <w:szCs w:val="21"/>
                <w:lang w:val="en-US" w:eastAsia="zh-CN"/>
              </w:rPr>
            </w:pPr>
            <w:r>
              <w:rPr>
                <w:rFonts w:hint="eastAsia" w:asciiTheme="minorEastAsia" w:hAnsiTheme="minorEastAsia" w:eastAsiaTheme="minorEastAsia" w:cstheme="minorEastAsia"/>
                <w:b w:val="0"/>
                <w:bCs/>
                <w:szCs w:val="21"/>
                <w:lang w:val="en-US" w:eastAsia="zh-CN"/>
              </w:rPr>
              <w:t>答：工程总承包和工程设计的毛利率受工程规模、市场竞争、项目周期、大宗商品价格波动等多方面影响，各年度内会有一定的波动。公司严格</w:t>
            </w:r>
            <w:r>
              <w:rPr>
                <w:rFonts w:hint="eastAsia" w:asciiTheme="minorEastAsia" w:hAnsiTheme="minorEastAsia" w:eastAsiaTheme="minorEastAsia" w:cstheme="minorEastAsia"/>
                <w:szCs w:val="21"/>
              </w:rPr>
              <w:t>按照履约进度确认收入</w:t>
            </w:r>
            <w:r>
              <w:rPr>
                <w:rFonts w:hint="eastAsia" w:asciiTheme="minorEastAsia" w:hAnsiTheme="minorEastAsia" w:eastAsiaTheme="minorEastAsia" w:cstheme="minorEastAsia"/>
                <w:b w:val="0"/>
                <w:bCs/>
                <w:szCs w:val="21"/>
                <w:lang w:val="en-US" w:eastAsia="zh-CN"/>
              </w:rPr>
              <w:t>，</w:t>
            </w:r>
            <w:r>
              <w:rPr>
                <w:rFonts w:hint="eastAsia" w:asciiTheme="minorEastAsia" w:hAnsiTheme="minorEastAsia" w:eastAsiaTheme="minorEastAsia" w:cstheme="minorEastAsia"/>
                <w:sz w:val="21"/>
                <w:szCs w:val="21"/>
              </w:rPr>
              <w:t>公司总承包项目具有单个合同金额较大的特点，导致公司营业收入受某一单个总承包项目的影响较大。总承包项目合同金额大、建设周期长、存在项目跨一个或多个年度的情况。公司工程总承包业务因为涉及总承包项目的个性化原因（如合同签订方式、当期工程数量少、工程工期周期差异、工程结算复杂等）造成各会计期间的总体毛利率有所变动。工程总承包成本主要由设备材料采购费、施工费、设计费、建筑安装管理费和临时设施费等构成，因此成本控制是影响项目整体毛利率的主要因素。</w:t>
            </w:r>
            <w:r>
              <w:rPr>
                <w:rFonts w:asciiTheme="minorEastAsia" w:hAnsiTheme="minorEastAsia" w:eastAsiaTheme="minorEastAsia" w:cstheme="minorEastAsia"/>
                <w:sz w:val="21"/>
                <w:szCs w:val="21"/>
              </w:rPr>
              <w:t>公司在各期末预计各工程总承包项目的总收入和总成本，而随着项目的实施，相关的收入、成本要素更加明朗，各期末预计总收入、预计总成本以及相应的预计项目总体毛利率存在一定的变化。</w:t>
            </w:r>
            <w:r>
              <w:rPr>
                <w:rFonts w:hint="eastAsia" w:asciiTheme="minorEastAsia" w:hAnsiTheme="minorEastAsia" w:eastAsiaTheme="minorEastAsia" w:cstheme="minorEastAsia"/>
                <w:b w:val="0"/>
                <w:bCs/>
                <w:szCs w:val="21"/>
                <w:lang w:val="en-US" w:eastAsia="zh-CN"/>
              </w:rPr>
              <w:t>长期而言，工程总承包业务毛利率会围绕均值区间波动。工程设计业务的毛利率主要受项目类型、收入构成、执行周期、合同承揽状况及业务多元化等多方面因素影响，大型</w:t>
            </w:r>
            <w:r>
              <w:rPr>
                <w:rFonts w:hint="eastAsia" w:asciiTheme="minorEastAsia" w:hAnsiTheme="minorEastAsia" w:eastAsiaTheme="minorEastAsia" w:cstheme="minorEastAsia"/>
                <w:i w:val="0"/>
                <w:caps w:val="0"/>
                <w:spacing w:val="0"/>
                <w:sz w:val="21"/>
                <w:szCs w:val="21"/>
                <w:shd w:val="clear" w:fill="FFFFFF"/>
                <w:lang w:eastAsia="zh-CN"/>
              </w:rPr>
              <w:t>新建项目</w:t>
            </w:r>
            <w:r>
              <w:rPr>
                <w:rFonts w:asciiTheme="minorEastAsia" w:hAnsiTheme="minorEastAsia" w:eastAsiaTheme="minorEastAsia" w:cstheme="minorEastAsia"/>
                <w:i w:val="0"/>
                <w:caps w:val="0"/>
                <w:spacing w:val="0"/>
                <w:sz w:val="21"/>
                <w:szCs w:val="21"/>
                <w:shd w:val="clear" w:fill="FFFFFF"/>
              </w:rPr>
              <w:t>毛利率</w:t>
            </w:r>
            <w:r>
              <w:rPr>
                <w:rFonts w:hint="eastAsia" w:asciiTheme="minorEastAsia" w:hAnsiTheme="minorEastAsia" w:eastAsiaTheme="minorEastAsia" w:cstheme="minorEastAsia"/>
                <w:i w:val="0"/>
                <w:caps w:val="0"/>
                <w:spacing w:val="0"/>
                <w:sz w:val="21"/>
                <w:szCs w:val="21"/>
                <w:shd w:val="clear" w:fill="FFFFFF"/>
                <w:lang w:eastAsia="zh-CN"/>
              </w:rPr>
              <w:t>通常</w:t>
            </w:r>
            <w:r>
              <w:rPr>
                <w:rFonts w:asciiTheme="minorEastAsia" w:hAnsiTheme="minorEastAsia" w:eastAsiaTheme="minorEastAsia" w:cstheme="minorEastAsia"/>
                <w:i w:val="0"/>
                <w:caps w:val="0"/>
                <w:spacing w:val="0"/>
                <w:sz w:val="21"/>
                <w:szCs w:val="21"/>
                <w:shd w:val="clear" w:fill="FFFFFF"/>
              </w:rPr>
              <w:t>相对较高，而</w:t>
            </w:r>
            <w:r>
              <w:rPr>
                <w:rFonts w:hint="eastAsia" w:asciiTheme="minorEastAsia" w:hAnsiTheme="minorEastAsia" w:eastAsiaTheme="minorEastAsia" w:cstheme="minorEastAsia"/>
                <w:i w:val="0"/>
                <w:caps w:val="0"/>
                <w:spacing w:val="0"/>
                <w:sz w:val="21"/>
                <w:szCs w:val="21"/>
                <w:shd w:val="clear" w:fill="FFFFFF"/>
                <w:lang w:eastAsia="zh-CN"/>
              </w:rPr>
              <w:t>系统配套和检维修</w:t>
            </w:r>
            <w:r>
              <w:rPr>
                <w:rFonts w:asciiTheme="minorEastAsia" w:hAnsiTheme="minorEastAsia" w:eastAsiaTheme="minorEastAsia" w:cstheme="minorEastAsia"/>
                <w:i w:val="0"/>
                <w:caps w:val="0"/>
                <w:spacing w:val="0"/>
                <w:sz w:val="21"/>
                <w:szCs w:val="21"/>
                <w:shd w:val="clear" w:fill="FFFFFF"/>
              </w:rPr>
              <w:t>项目毛利率较低。此外，项目的执行周期也会影响毛利率，一般情况下，设计项目的执行周期较短，毛利率较高</w:t>
            </w:r>
            <w:r>
              <w:rPr>
                <w:rFonts w:hint="eastAsia" w:asciiTheme="minorEastAsia" w:hAnsiTheme="minorEastAsia" w:eastAsiaTheme="minorEastAsia" w:cstheme="minorEastAsia"/>
                <w:i w:val="0"/>
                <w:caps w:val="0"/>
                <w:spacing w:val="0"/>
                <w:sz w:val="21"/>
                <w:szCs w:val="21"/>
                <w:shd w:val="clear" w:fill="FFFFFF"/>
                <w:lang w:eastAsia="zh-CN"/>
              </w:rPr>
              <w:t>。公司</w:t>
            </w:r>
            <w:r>
              <w:rPr>
                <w:rFonts w:asciiTheme="minorEastAsia" w:hAnsiTheme="minorEastAsia" w:eastAsiaTheme="minorEastAsia" w:cstheme="minorEastAsia"/>
                <w:i w:val="0"/>
                <w:caps w:val="0"/>
                <w:spacing w:val="0"/>
                <w:sz w:val="21"/>
                <w:szCs w:val="21"/>
                <w:shd w:val="clear" w:fill="FFFFFF"/>
              </w:rPr>
              <w:t>需要综合考虑这些因素，采取相应的策略以优化</w:t>
            </w:r>
            <w:r>
              <w:rPr>
                <w:rFonts w:hint="eastAsia" w:asciiTheme="minorEastAsia" w:hAnsiTheme="minorEastAsia" w:eastAsiaTheme="minorEastAsia" w:cstheme="minorEastAsia"/>
                <w:i w:val="0"/>
                <w:caps w:val="0"/>
                <w:spacing w:val="0"/>
                <w:sz w:val="21"/>
                <w:szCs w:val="21"/>
                <w:shd w:val="clear" w:fill="FFFFFF"/>
                <w:lang w:eastAsia="zh-CN"/>
              </w:rPr>
              <w:t>设计业务</w:t>
            </w:r>
            <w:r>
              <w:rPr>
                <w:rFonts w:asciiTheme="minorEastAsia" w:hAnsiTheme="minorEastAsia" w:eastAsiaTheme="minorEastAsia" w:cstheme="minorEastAsia"/>
                <w:i w:val="0"/>
                <w:caps w:val="0"/>
                <w:spacing w:val="0"/>
                <w:sz w:val="21"/>
                <w:szCs w:val="21"/>
                <w:shd w:val="clear" w:fill="FFFFFF"/>
              </w:rPr>
              <w:t>毛利率。</w:t>
            </w:r>
          </w:p>
          <w:p w14:paraId="030095EF">
            <w:pPr>
              <w:pStyle w:val="17"/>
              <w:bidi w:val="0"/>
              <w:rPr>
                <w:rFonts w:hint="eastAsia" w:asciiTheme="minorEastAsia" w:hAnsiTheme="minorEastAsia" w:eastAsiaTheme="minorEastAsia" w:cstheme="minorEastAsia"/>
                <w:b/>
                <w:bCs w:val="0"/>
                <w:szCs w:val="21"/>
                <w:lang w:val="en-US" w:eastAsia="zh-CN"/>
              </w:rPr>
            </w:pPr>
          </w:p>
          <w:p w14:paraId="1D20E434">
            <w:pPr>
              <w:pStyle w:val="17"/>
              <w:bidi w:val="0"/>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lang w:val="en-US" w:eastAsia="zh-CN"/>
              </w:rPr>
              <w:t>3</w:t>
            </w:r>
            <w:r>
              <w:rPr>
                <w:rFonts w:hint="eastAsia" w:asciiTheme="minorEastAsia" w:hAnsiTheme="minorEastAsia" w:eastAsiaTheme="minorEastAsia" w:cstheme="minorEastAsia"/>
                <w:b/>
                <w:bCs w:val="0"/>
                <w:szCs w:val="21"/>
              </w:rPr>
              <w:t>、在手订单情况</w:t>
            </w:r>
            <w:r>
              <w:rPr>
                <w:rFonts w:hint="eastAsia" w:asciiTheme="minorEastAsia" w:hAnsiTheme="minorEastAsia" w:eastAsiaTheme="minorEastAsia" w:cstheme="minorEastAsia"/>
                <w:b/>
                <w:bCs w:val="0"/>
                <w:szCs w:val="21"/>
                <w:lang w:val="en-US" w:eastAsia="zh-CN"/>
              </w:rPr>
              <w:t>如何</w:t>
            </w:r>
            <w:r>
              <w:rPr>
                <w:rFonts w:hint="eastAsia" w:asciiTheme="minorEastAsia" w:hAnsiTheme="minorEastAsia" w:eastAsiaTheme="minorEastAsia" w:cstheme="minorEastAsia"/>
                <w:b/>
                <w:bCs w:val="0"/>
                <w:szCs w:val="21"/>
              </w:rPr>
              <w:t>？目前在执行的总承包项目？</w:t>
            </w:r>
            <w:r>
              <w:rPr>
                <w:rFonts w:hint="eastAsia" w:asciiTheme="minorEastAsia" w:hAnsiTheme="minorEastAsia" w:eastAsiaTheme="minorEastAsia" w:cstheme="minorEastAsia"/>
                <w:b/>
                <w:bCs w:val="0"/>
                <w:szCs w:val="21"/>
                <w:lang w:val="en-US" w:eastAsia="zh-CN"/>
              </w:rPr>
              <w:t>未来展望？</w:t>
            </w:r>
          </w:p>
          <w:p w14:paraId="5296814F">
            <w:pPr>
              <w:pStyle w:val="17"/>
              <w:bidi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答：截止</w:t>
            </w:r>
            <w:r>
              <w:rPr>
                <w:rFonts w:hint="eastAsia" w:asciiTheme="minorEastAsia" w:hAnsiTheme="minorEastAsia" w:eastAsiaTheme="minorEastAsia" w:cstheme="minorEastAsia"/>
                <w:szCs w:val="21"/>
                <w:lang w:val="en-US" w:eastAsia="zh-CN"/>
              </w:rPr>
              <w:t>2024年6月30日</w:t>
            </w:r>
            <w:r>
              <w:rPr>
                <w:rFonts w:hint="eastAsia" w:asciiTheme="minorEastAsia" w:hAnsiTheme="minorEastAsia" w:eastAsiaTheme="minorEastAsia" w:cstheme="minorEastAsia"/>
                <w:szCs w:val="21"/>
              </w:rPr>
              <w:t>，公司</w:t>
            </w:r>
            <w:r>
              <w:rPr>
                <w:rFonts w:hint="eastAsia" w:asciiTheme="minorEastAsia" w:hAnsiTheme="minorEastAsia" w:eastAsiaTheme="minorEastAsia" w:cstheme="minorEastAsia"/>
                <w:szCs w:val="21"/>
                <w:lang w:val="en-US" w:eastAsia="zh-CN"/>
              </w:rPr>
              <w:t>在手订单</w:t>
            </w:r>
            <w:r>
              <w:rPr>
                <w:rFonts w:hint="eastAsia" w:asciiTheme="minorEastAsia" w:hAnsiTheme="minorEastAsia" w:eastAsiaTheme="minorEastAsia" w:cstheme="minorEastAsia"/>
                <w:szCs w:val="21"/>
              </w:rPr>
              <w:t>对应的收入金额为3.29亿元。</w:t>
            </w:r>
            <w:r>
              <w:rPr>
                <w:rFonts w:hint="eastAsia" w:asciiTheme="minorEastAsia" w:hAnsiTheme="minorEastAsia" w:eastAsiaTheme="minorEastAsia" w:cstheme="minorEastAsia"/>
                <w:szCs w:val="21"/>
                <w:lang w:val="en-US" w:eastAsia="zh-CN"/>
              </w:rPr>
              <w:t>尚未结算完毕及在执行的总承包项目有：中委合资广东石化2000万吨/年重油加工EPC总承包项目、福海创原料适应性技改项目2×6万吨/年硫磺回收装置EPC总承包项目、福海创工业己烷优化项目EPC总承包项目、天津南港120万吨/年乙烯及下游高端新材料产业集群项目EPC总承包项目、中韩（武汉）石化两套硫磺回收装置增加烟气后碱洗设施EPC总承包项目、大榭石化炼化一体化项目3万吨/年硫磺回收装置EPC总承包项目等。公司国资控股股东对高级管理人员的经营业绩进行考核，一般年初根据市场动态在上一年度完成情况基础上保持适度增长。鉴于项目执行周期较长，下一年度执行的合同订单相当一部分是上一年度签订的，以确保第二年业务的有序衔接。</w:t>
            </w:r>
          </w:p>
          <w:p w14:paraId="4D6000E8">
            <w:pPr>
              <w:pStyle w:val="17"/>
              <w:bidi w:val="0"/>
              <w:rPr>
                <w:rFonts w:hint="eastAsia" w:asciiTheme="minorEastAsia" w:hAnsiTheme="minorEastAsia" w:eastAsiaTheme="minorEastAsia" w:cstheme="minorEastAsia"/>
                <w:szCs w:val="21"/>
              </w:rPr>
            </w:pPr>
          </w:p>
          <w:p w14:paraId="4D12373A">
            <w:pPr>
              <w:pStyle w:val="17"/>
              <w:bidi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val="0"/>
                <w:szCs w:val="21"/>
                <w:lang w:val="en-US" w:eastAsia="zh-CN"/>
              </w:rPr>
              <w:t>4</w:t>
            </w:r>
            <w:r>
              <w:rPr>
                <w:rFonts w:hint="eastAsia" w:asciiTheme="minorEastAsia" w:hAnsiTheme="minorEastAsia" w:eastAsiaTheme="minorEastAsia" w:cstheme="minorEastAsia"/>
                <w:b/>
                <w:bCs w:val="0"/>
                <w:szCs w:val="21"/>
              </w:rPr>
              <w:t>、未来我们是否考虑进行业务转型？如果要转型，有哪些可能的方向？</w:t>
            </w:r>
            <w:r>
              <w:rPr>
                <w:rFonts w:hint="eastAsia" w:asciiTheme="minorEastAsia" w:hAnsiTheme="minorEastAsia" w:eastAsiaTheme="minorEastAsia" w:cstheme="minorEastAsia"/>
                <w:b/>
                <w:bCs w:val="0"/>
                <w:szCs w:val="21"/>
                <w:lang w:val="en-US" w:eastAsia="zh-CN"/>
              </w:rPr>
              <w:t>近期监管部门发布了不少并购重组指引，是否有这方面的考量？</w:t>
            </w:r>
          </w:p>
          <w:p w14:paraId="2251760C">
            <w:pPr>
              <w:pStyle w:val="17"/>
              <w:bidi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答</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公司多年来一直致力于服务石油化工相关领域，随着石油化工行业发展，行业投资从传统的炼油板块转移到化工板块。具体来说，尽管炼油板块的投资有所下滑，但部分投资已经转向化工领域，尤其是精细化工方向。公司在化工方面已承接了一些设计合同。并购重组方面，公司也会利用好上市公司融资平台的优势，坚持产业经营和资本运作双轮驱动，审慎地进行多元化布局。国资平台对此持开放态度，支持公司在相关领域探索，公司倾向于具有一定业务协同性的标的资产，关注具有成长性和创新潜能的标的，注重企业文化和管理模式的融合。</w:t>
            </w:r>
          </w:p>
          <w:p w14:paraId="102F5E9F">
            <w:pPr>
              <w:pStyle w:val="17"/>
              <w:bidi w:val="0"/>
              <w:rPr>
                <w:rFonts w:hint="eastAsia" w:asciiTheme="minorEastAsia" w:hAnsiTheme="minorEastAsia" w:eastAsiaTheme="minorEastAsia" w:cstheme="minorEastAsia"/>
                <w:szCs w:val="21"/>
              </w:rPr>
            </w:pPr>
          </w:p>
          <w:p w14:paraId="7D41BBE4">
            <w:pPr>
              <w:pStyle w:val="17"/>
              <w:bidi w:val="0"/>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lang w:val="en-US" w:eastAsia="zh-CN"/>
              </w:rPr>
              <w:t>5</w:t>
            </w:r>
            <w:r>
              <w:rPr>
                <w:rFonts w:hint="eastAsia" w:asciiTheme="minorEastAsia" w:hAnsiTheme="minorEastAsia" w:eastAsiaTheme="minorEastAsia" w:cstheme="minorEastAsia"/>
                <w:b/>
                <w:bCs w:val="0"/>
                <w:szCs w:val="21"/>
              </w:rPr>
              <w:t>、</w:t>
            </w:r>
            <w:r>
              <w:rPr>
                <w:rFonts w:hint="eastAsia" w:asciiTheme="minorEastAsia" w:hAnsiTheme="minorEastAsia" w:eastAsiaTheme="minorEastAsia" w:cstheme="minorEastAsia"/>
                <w:b/>
                <w:bCs w:val="0"/>
                <w:szCs w:val="21"/>
                <w:lang w:val="en-US" w:eastAsia="zh-CN"/>
              </w:rPr>
              <w:t>有关</w:t>
            </w:r>
            <w:r>
              <w:rPr>
                <w:rFonts w:hint="eastAsia" w:asciiTheme="minorEastAsia" w:hAnsiTheme="minorEastAsia" w:eastAsiaTheme="minorEastAsia" w:cstheme="minorEastAsia"/>
                <w:b/>
                <w:bCs w:val="0"/>
                <w:szCs w:val="21"/>
              </w:rPr>
              <w:t>市值管理</w:t>
            </w:r>
            <w:r>
              <w:rPr>
                <w:rFonts w:hint="eastAsia" w:asciiTheme="minorEastAsia" w:hAnsiTheme="minorEastAsia" w:eastAsiaTheme="minorEastAsia" w:cstheme="minorEastAsia"/>
                <w:b/>
                <w:bCs w:val="0"/>
                <w:szCs w:val="21"/>
                <w:lang w:val="en-US" w:eastAsia="zh-CN"/>
              </w:rPr>
              <w:t>，公司怎么看待</w:t>
            </w:r>
            <w:r>
              <w:rPr>
                <w:rFonts w:hint="eastAsia" w:asciiTheme="minorEastAsia" w:hAnsiTheme="minorEastAsia" w:eastAsiaTheme="minorEastAsia" w:cstheme="minorEastAsia"/>
                <w:b/>
                <w:bCs w:val="0"/>
                <w:szCs w:val="21"/>
              </w:rPr>
              <w:t>？</w:t>
            </w:r>
          </w:p>
          <w:p w14:paraId="7B139819">
            <w:pPr>
              <w:pStyle w:val="17"/>
              <w:bidi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答：</w:t>
            </w:r>
            <w:r>
              <w:rPr>
                <w:rFonts w:hint="eastAsia" w:asciiTheme="minorEastAsia" w:hAnsiTheme="minorEastAsia" w:eastAsiaTheme="minorEastAsia" w:cstheme="minorEastAsia"/>
                <w:szCs w:val="21"/>
                <w:lang w:val="en-US" w:eastAsia="zh-CN"/>
              </w:rPr>
              <w:t>在当前市场环境下，市值管理对公司的融资能力和市场形象都有重要影响。市值管理不仅仅是股价的涨跌，而是要通过提升公司的内在价值和业绩实现市值的增长，公司会继续规范运作、提升业绩和加强投资者关系管理。</w:t>
            </w:r>
          </w:p>
          <w:p w14:paraId="2A819918">
            <w:pPr>
              <w:pStyle w:val="17"/>
              <w:bidi w:val="0"/>
              <w:ind w:left="0" w:leftChars="0" w:firstLine="420" w:firstLineChars="200"/>
              <w:rPr>
                <w:rFonts w:hint="eastAsia" w:asciiTheme="minorEastAsia" w:hAnsiTheme="minorEastAsia" w:eastAsiaTheme="minorEastAsia" w:cstheme="minorEastAsia"/>
                <w:szCs w:val="21"/>
              </w:rPr>
            </w:pPr>
          </w:p>
        </w:tc>
      </w:tr>
      <w:tr w14:paraId="71F8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0283A259">
            <w:pPr>
              <w:pStyle w:val="6"/>
              <w:keepNext w:val="0"/>
              <w:keepLines w:val="0"/>
              <w:widowControl/>
              <w:suppressLineNumbers w:val="0"/>
              <w:spacing w:before="0" w:beforeAutospacing="1" w:after="0" w:afterAutospacing="1"/>
              <w:ind w:left="0" w:right="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附件清单</w:t>
            </w:r>
          </w:p>
        </w:tc>
        <w:tc>
          <w:tcPr>
            <w:tcW w:w="4144" w:type="pct"/>
            <w:tcBorders>
              <w:top w:val="nil"/>
              <w:left w:val="nil"/>
              <w:bottom w:val="single" w:color="000000" w:sz="6" w:space="0"/>
              <w:right w:val="single" w:color="000000" w:sz="6" w:space="0"/>
            </w:tcBorders>
            <w:shd w:val="clear" w:color="auto" w:fill="auto"/>
            <w:vAlign w:val="top"/>
          </w:tcPr>
          <w:p w14:paraId="2D55C297">
            <w:pPr>
              <w:pStyle w:val="6"/>
              <w:keepNext w:val="0"/>
              <w:keepLines w:val="0"/>
              <w:widowControl/>
              <w:suppressLineNumbers w:val="0"/>
              <w:spacing w:before="0" w:beforeAutospacing="1" w:after="0" w:afterAutospacing="1"/>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无</w:t>
            </w:r>
          </w:p>
        </w:tc>
      </w:tr>
      <w:tr w14:paraId="5BFF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04" w:type="pct"/>
            <w:tcBorders>
              <w:top w:val="nil"/>
              <w:left w:val="single" w:color="000000" w:sz="6" w:space="0"/>
              <w:bottom w:val="single" w:color="000000" w:sz="6" w:space="0"/>
              <w:right w:val="single" w:color="000000" w:sz="6" w:space="0"/>
            </w:tcBorders>
            <w:shd w:val="clear" w:color="auto" w:fill="auto"/>
            <w:vAlign w:val="center"/>
          </w:tcPr>
          <w:p w14:paraId="54AD9FEC">
            <w:pPr>
              <w:pStyle w:val="6"/>
              <w:keepNext w:val="0"/>
              <w:keepLines w:val="0"/>
              <w:widowControl/>
              <w:suppressLineNumbers w:val="0"/>
              <w:spacing w:before="0" w:beforeAutospacing="1" w:after="0" w:afterAutospacing="1"/>
              <w:ind w:left="0" w:right="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日期</w:t>
            </w:r>
          </w:p>
        </w:tc>
        <w:tc>
          <w:tcPr>
            <w:tcW w:w="4144" w:type="pct"/>
            <w:tcBorders>
              <w:top w:val="nil"/>
              <w:left w:val="nil"/>
              <w:bottom w:val="single" w:color="000000" w:sz="6" w:space="0"/>
              <w:right w:val="single" w:color="000000" w:sz="6" w:space="0"/>
            </w:tcBorders>
            <w:shd w:val="clear" w:color="auto" w:fill="auto"/>
            <w:vAlign w:val="top"/>
          </w:tcPr>
          <w:p w14:paraId="7E304BBF">
            <w:pPr>
              <w:pStyle w:val="6"/>
              <w:keepNext w:val="0"/>
              <w:keepLines w:val="0"/>
              <w:widowControl/>
              <w:suppressLineNumbers w:val="0"/>
              <w:rPr>
                <w:rFonts w:hint="eastAsia" w:asciiTheme="minorEastAsia" w:hAnsiTheme="minorEastAsia" w:eastAsiaTheme="minorEastAsia" w:cstheme="minorEastAsia"/>
                <w:sz w:val="21"/>
                <w:szCs w:val="21"/>
              </w:rPr>
            </w:pPr>
          </w:p>
        </w:tc>
      </w:tr>
    </w:tbl>
    <w:p w14:paraId="436AD2D4">
      <w:pPr>
        <w:adjustRightInd w:val="0"/>
        <w:snapToGrid w:val="0"/>
        <w:spacing w:line="360" w:lineRule="auto"/>
        <w:ind w:firstLine="480" w:firstLineChars="200"/>
        <w:rPr>
          <w:rFonts w:ascii="宋体" w:hAnsi="宋体"/>
          <w:sz w:val="24"/>
        </w:rPr>
      </w:pPr>
    </w:p>
    <w:p w14:paraId="7D854066">
      <w:pPr>
        <w:adjustRightInd w:val="0"/>
        <w:snapToGrid w:val="0"/>
        <w:spacing w:line="360" w:lineRule="auto"/>
        <w:ind w:left="420"/>
        <w:rPr>
          <w:rFonts w:ascii="宋体" w:hAnsi="宋体"/>
          <w:sz w:val="24"/>
        </w:rPr>
      </w:pPr>
    </w:p>
    <w:sectPr>
      <w:headerReference r:id="rId3" w:type="default"/>
      <w:footerReference r:id="rId4"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A98C">
    <w:pPr>
      <w:pStyle w:val="4"/>
    </w:pPr>
  </w:p>
  <w:p w14:paraId="0982246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10FC">
    <w:pPr>
      <w:pStyle w:val="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99"/>
    <w:rsid w:val="00004DD7"/>
    <w:rsid w:val="000068FF"/>
    <w:rsid w:val="00063BCF"/>
    <w:rsid w:val="00071C36"/>
    <w:rsid w:val="00082E34"/>
    <w:rsid w:val="00097272"/>
    <w:rsid w:val="000B1D69"/>
    <w:rsid w:val="000D7430"/>
    <w:rsid w:val="0012600D"/>
    <w:rsid w:val="0014662E"/>
    <w:rsid w:val="00157CCE"/>
    <w:rsid w:val="00165C86"/>
    <w:rsid w:val="001869C9"/>
    <w:rsid w:val="001F1924"/>
    <w:rsid w:val="001F3479"/>
    <w:rsid w:val="00205458"/>
    <w:rsid w:val="00206223"/>
    <w:rsid w:val="0022372D"/>
    <w:rsid w:val="00223AD1"/>
    <w:rsid w:val="0023558B"/>
    <w:rsid w:val="00242FAD"/>
    <w:rsid w:val="0026452A"/>
    <w:rsid w:val="002948E3"/>
    <w:rsid w:val="002D32AA"/>
    <w:rsid w:val="00301E51"/>
    <w:rsid w:val="003113B0"/>
    <w:rsid w:val="00347275"/>
    <w:rsid w:val="00367F05"/>
    <w:rsid w:val="00394ECC"/>
    <w:rsid w:val="00396550"/>
    <w:rsid w:val="003A0F0C"/>
    <w:rsid w:val="003A6799"/>
    <w:rsid w:val="003B7D92"/>
    <w:rsid w:val="003E6F86"/>
    <w:rsid w:val="00410C26"/>
    <w:rsid w:val="00414946"/>
    <w:rsid w:val="004170FF"/>
    <w:rsid w:val="0042723C"/>
    <w:rsid w:val="004404D3"/>
    <w:rsid w:val="00464F54"/>
    <w:rsid w:val="00471C7A"/>
    <w:rsid w:val="004751AF"/>
    <w:rsid w:val="004C5D15"/>
    <w:rsid w:val="004E4685"/>
    <w:rsid w:val="004F1FE3"/>
    <w:rsid w:val="00554790"/>
    <w:rsid w:val="005668AA"/>
    <w:rsid w:val="005739FB"/>
    <w:rsid w:val="00574388"/>
    <w:rsid w:val="005E24E2"/>
    <w:rsid w:val="00621C14"/>
    <w:rsid w:val="006255A2"/>
    <w:rsid w:val="00664120"/>
    <w:rsid w:val="006B1CD5"/>
    <w:rsid w:val="006C076A"/>
    <w:rsid w:val="006C0BC1"/>
    <w:rsid w:val="0071036E"/>
    <w:rsid w:val="0071416E"/>
    <w:rsid w:val="00742F16"/>
    <w:rsid w:val="0079002A"/>
    <w:rsid w:val="007A4550"/>
    <w:rsid w:val="007B040F"/>
    <w:rsid w:val="007C46E1"/>
    <w:rsid w:val="007D7522"/>
    <w:rsid w:val="007E4A82"/>
    <w:rsid w:val="007F5A4A"/>
    <w:rsid w:val="00847DCD"/>
    <w:rsid w:val="008601CD"/>
    <w:rsid w:val="008805AB"/>
    <w:rsid w:val="00896B45"/>
    <w:rsid w:val="008F67A0"/>
    <w:rsid w:val="00912C32"/>
    <w:rsid w:val="00935E0E"/>
    <w:rsid w:val="0096381E"/>
    <w:rsid w:val="00982DEA"/>
    <w:rsid w:val="0099557F"/>
    <w:rsid w:val="009A5C41"/>
    <w:rsid w:val="009D0095"/>
    <w:rsid w:val="009E1595"/>
    <w:rsid w:val="009F7FF6"/>
    <w:rsid w:val="00A007E4"/>
    <w:rsid w:val="00A2775E"/>
    <w:rsid w:val="00A30DDA"/>
    <w:rsid w:val="00A33DB0"/>
    <w:rsid w:val="00A62C76"/>
    <w:rsid w:val="00A70BE2"/>
    <w:rsid w:val="00A91B0C"/>
    <w:rsid w:val="00AA081E"/>
    <w:rsid w:val="00AD4E32"/>
    <w:rsid w:val="00AE26EE"/>
    <w:rsid w:val="00AF58D0"/>
    <w:rsid w:val="00B02035"/>
    <w:rsid w:val="00B0654C"/>
    <w:rsid w:val="00B14147"/>
    <w:rsid w:val="00B15417"/>
    <w:rsid w:val="00B21D19"/>
    <w:rsid w:val="00B46811"/>
    <w:rsid w:val="00BA62FB"/>
    <w:rsid w:val="00BD28FF"/>
    <w:rsid w:val="00C04D6B"/>
    <w:rsid w:val="00C11CC0"/>
    <w:rsid w:val="00C1555E"/>
    <w:rsid w:val="00C314ED"/>
    <w:rsid w:val="00C3467D"/>
    <w:rsid w:val="00C72C6C"/>
    <w:rsid w:val="00CD156B"/>
    <w:rsid w:val="00D14DCD"/>
    <w:rsid w:val="00D24F97"/>
    <w:rsid w:val="00D37E0D"/>
    <w:rsid w:val="00D45F61"/>
    <w:rsid w:val="00D60E87"/>
    <w:rsid w:val="00D70067"/>
    <w:rsid w:val="00D73A3F"/>
    <w:rsid w:val="00D80D67"/>
    <w:rsid w:val="00DB3198"/>
    <w:rsid w:val="00DC0CAB"/>
    <w:rsid w:val="00DD06A2"/>
    <w:rsid w:val="00DD38A8"/>
    <w:rsid w:val="00E37370"/>
    <w:rsid w:val="00E42751"/>
    <w:rsid w:val="00E62A59"/>
    <w:rsid w:val="00E67168"/>
    <w:rsid w:val="00E77B32"/>
    <w:rsid w:val="00E9069A"/>
    <w:rsid w:val="00F208B5"/>
    <w:rsid w:val="00F22461"/>
    <w:rsid w:val="00F24EEB"/>
    <w:rsid w:val="00F32B5E"/>
    <w:rsid w:val="00F47C37"/>
    <w:rsid w:val="00F73D73"/>
    <w:rsid w:val="00F747F8"/>
    <w:rsid w:val="00F803DB"/>
    <w:rsid w:val="00F858D3"/>
    <w:rsid w:val="00FE3A88"/>
    <w:rsid w:val="065C787E"/>
    <w:rsid w:val="08A059D4"/>
    <w:rsid w:val="15B6796D"/>
    <w:rsid w:val="16526560"/>
    <w:rsid w:val="1D9771A6"/>
    <w:rsid w:val="1F7E2174"/>
    <w:rsid w:val="23C07595"/>
    <w:rsid w:val="33DF2DA8"/>
    <w:rsid w:val="38E10BAE"/>
    <w:rsid w:val="475A64AF"/>
    <w:rsid w:val="510559A1"/>
    <w:rsid w:val="526F4AA7"/>
    <w:rsid w:val="54EB1B0B"/>
    <w:rsid w:val="592738D0"/>
    <w:rsid w:val="77F7C2C8"/>
    <w:rsid w:val="7A5A5248"/>
    <w:rsid w:val="7FD90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sz w:val="24"/>
      <w:szCs w:val="24"/>
      <w:lang w:val="zh-CN"/>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1"/>
    <w:qFormat/>
    <w:uiPriority w:val="0"/>
    <w:pPr>
      <w:spacing w:before="240" w:after="60"/>
      <w:jc w:val="center"/>
      <w:outlineLvl w:val="0"/>
    </w:pPr>
    <w:rPr>
      <w:rFonts w:ascii="Cambria" w:hAnsi="Cambria"/>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Char"/>
    <w:basedOn w:val="10"/>
    <w:link w:val="7"/>
    <w:qFormat/>
    <w:uiPriority w:val="0"/>
    <w:rPr>
      <w:rFonts w:ascii="Cambria" w:hAnsi="Cambria" w:eastAsia="宋体" w:cs="Times New Roman"/>
      <w:b/>
      <w:bCs/>
      <w:sz w:val="32"/>
      <w:szCs w:val="32"/>
    </w:r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3">
    <w:name w:val="页眉 Char"/>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样式1"/>
    <w:basedOn w:val="1"/>
    <w:qFormat/>
    <w:uiPriority w:val="0"/>
    <w:pPr>
      <w:ind w:firstLine="420" w:firstLineChars="200"/>
    </w:pPr>
    <w:rPr>
      <w:rFonts w:hint="eastAsia"/>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Company>
  <Pages>2</Pages>
  <Words>1868</Words>
  <Characters>1921</Characters>
  <Lines>11</Lines>
  <Paragraphs>3</Paragraphs>
  <TotalTime>33</TotalTime>
  <ScaleCrop>false</ScaleCrop>
  <LinksUpToDate>false</LinksUpToDate>
  <CharactersWithSpaces>1997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2017-05-26T16:09:00Z</dcterms:created>
  <dc:creator>Administrator</dc:creator>
  <cp:lastModifiedBy>Jone'net-W</cp:lastModifiedBy>
  <cp:lastPrinted>2018-06-15T16:18:00Z</cp:lastPrinted>
  <dcterms:modified xsi:type="dcterms:W3CDTF">2024-11-25T01:20:31Z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DB93C51A27B84B23A0E1D57758BBF626_13</vt:lpwstr>
  </property>
</Properties>
</file>