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bookmarkStart w:id="1" w:name="_GoBack"/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185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  <w:bookmarkEnd w:id="1"/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/>
        <w:adjustRightInd w:val="0"/>
        <w:snapToGrid w:val="0"/>
        <w:spacing w:beforeLines="0" w:afterLines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val="en-US"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val="en-US" w:eastAsia="zh-CN"/>
        </w:rPr>
        <w:t>东莞市华立实业股份有限公司、谭洪汝、谭栩杰、何全洪、谢志昆、卢旭球、孙媛媛</w:t>
      </w:r>
    </w:p>
    <w:p>
      <w:pPr>
        <w:widowControl/>
        <w:adjustRightInd w:val="0"/>
        <w:snapToGrid w:val="0"/>
        <w:spacing w:beforeLines="0" w:afterLines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</w:rPr>
        <w:t>措施的决定</w:t>
      </w:r>
    </w:p>
    <w:p>
      <w:pPr>
        <w:widowControl w:val="0"/>
        <w:adjustRightInd w:val="0"/>
        <w:snapToGrid w:val="0"/>
        <w:spacing w:beforeLines="0" w:afterLines="0" w:line="24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</w:rPr>
      </w:pPr>
    </w:p>
    <w:p>
      <w:pPr>
        <w:overflowPunct w:val="0"/>
        <w:adjustRightInd/>
        <w:snapToGrid w:val="0"/>
        <w:spacing w:beforeLines="0" w:afterLines="0" w:line="336" w:lineRule="auto"/>
        <w:ind w:firstLine="0" w:firstLineChars="0"/>
        <w:rPr>
          <w:rFonts w:hint="eastAsia" w:ascii="仿宋_GB2312" w:hAnsi="仿宋_GB2312" w:eastAsia="仿宋_GB2312" w:cs="仿宋_GB2312"/>
          <w:spacing w:val="-6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highlight w:val="none"/>
          <w:lang w:eastAsia="zh-CN"/>
        </w:rPr>
        <w:t>东莞市华立实业股份有限公司、谭洪汝、谭栩杰、何全洪、谢志昆、卢旭球、孙媛媛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highlight w:val="none"/>
        </w:rPr>
        <w:t>：</w:t>
      </w:r>
    </w:p>
    <w:p>
      <w:p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-6"/>
          <w:kern w:val="0"/>
          <w:sz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根据《上市公司现场检查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20"/>
          <w:lang w:val="en-US" w:eastAsia="zh-CN"/>
        </w:rPr>
        <w:t>规则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》（证监会公告〔2022〕21号）等规定，我局对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东莞市华立实业股份有限公司（以下简称华立股份或公司）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进行了现场检查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lang w:val="en-US" w:eastAsia="zh-CN"/>
        </w:rPr>
        <w:t>发现公司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以下问题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</w:rPr>
        <w:t>：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right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一是经对相关贸易业务模式的实质进行审慎判断后，华立股份对2022年前三季度部分贸易业务的收入确认方法从总额法调整为净额法，据此对2022年一季报、半年报和三季报进行会计差错更正。调整后，公司2022年一季度、半年度和前三季度营业收入分别减少1690.72万元、8416.75万、10869.59万元，营业成本分别减少1690.72万元、8416.75万、10869.59万元。公司修正前的2022年一季报、半年报和三季报对贸易业务的核算情况不符合《企业会计准则第14号——收入》第三十四条的相关规定。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right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二是华立股份于2022年为某工程公司代采混凝土、钢材和管桩等建筑材料，涉及销售金额2,735.40万元，销售成本2,402.35万元，公司按净额法确认营业收入333.05万元。经查，该项业务实质为以贸易业务为形式的资金融通业务，具有偶发性和特殊性，但公司将其确认为营业收入，且未披露为非经常性损益。上述情形不符合《企业会计准则第22号——金融工具确认和计量》第六十六条、《公开发行证券的公司信息披露编报规则第15号——财务报告的一般规定（2023年修订）》（证监会公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64号）第七十九条、《公开发行证券的公司信息披露解释性公告第1号——非经常性损益》（证监会公告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〔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65号）第四条等相关规定。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right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三是华立股份对福建尚润投资管理有限公司进行商誉减值测试时，未充分考量期后事项对该公司收入产生的影响，导致2023年少计提对该公司的商誉减值准备169.28万元。上述情形不符合《企业会计准则第8号——资产减值》第十一条等相关规定。</w:t>
      </w:r>
    </w:p>
    <w:p>
      <w:pPr>
        <w:widowControl w:val="0"/>
        <w:numPr>
          <w:ilvl w:val="0"/>
          <w:numId w:val="0"/>
        </w:numPr>
        <w:wordWrap/>
        <w:overflowPunct w:val="0"/>
        <w:adjustRightInd/>
        <w:snapToGrid w:val="0"/>
        <w:spacing w:beforeLines="0" w:afterLines="0" w:line="336" w:lineRule="auto"/>
        <w:ind w:left="0" w:leftChars="0" w:right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auto"/>
          <w:spacing w:val="-6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pacing w:val="-6"/>
          <w:kern w:val="0"/>
          <w:sz w:val="32"/>
          <w:szCs w:val="22"/>
          <w:lang w:val="en-US" w:eastAsia="zh-CN" w:bidi="ar-SA"/>
        </w:rPr>
        <w:t>上述情形导致华立股份相关定期报告中披露的财务数据不准确，违反了《上市公司信息披露管理办法》（证监会令第182号，下同）第三条第一款的规定。</w:t>
      </w:r>
    </w:p>
    <w:p>
      <w:pPr>
        <w:numPr>
          <w:ilvl w:val="0"/>
          <w:numId w:val="0"/>
        </w:numPr>
        <w:overflowPunct w:val="0"/>
        <w:adjustRightInd/>
        <w:snapToGrid w:val="0"/>
        <w:spacing w:beforeLines="0" w:afterLines="0" w:line="336" w:lineRule="auto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华立股份时任董事长和时任总经理谭洪汝、董事长何全洪、时任董事长谭栩杰、总经理谢志昆、时任财务总监卢旭球、财务总监孙媛媛未按照《上市公司信息披露管理办法》第四条、第五十一条的规定履行勤勉尽责义务，对华立股份上述违规行为负有主要责任。其中，谭洪汝、谭栩杰、谢志昆、卢旭球对第一和第二项违规行为负有主要责任，何全洪、谢志昆、孙媛媛对第三项违规行为负有主要责任</w:t>
      </w:r>
      <w:r>
        <w:rPr>
          <w:rFonts w:hint="eastAsia" w:ascii="仿宋_GB2312" w:hAnsi="仿宋_GB2312" w:eastAsia="仿宋_GB2312" w:cs="黑体"/>
          <w:color w:val="000000"/>
          <w:spacing w:val="0"/>
          <w:kern w:val="0"/>
          <w:sz w:val="32"/>
          <w:szCs w:val="22"/>
          <w:highlight w:val="none"/>
          <w:lang w:val="en-US" w:eastAsia="zh-CN"/>
        </w:rPr>
        <w:t>。</w:t>
      </w:r>
    </w:p>
    <w:p>
      <w:pPr>
        <w:overflowPunct w:val="0"/>
        <w:snapToGrid w:val="0"/>
        <w:spacing w:beforeLines="0" w:afterLines="0" w:line="336" w:lineRule="auto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1"/>
          <w:highlight w:val="none"/>
          <w:lang w:val="en-US" w:eastAsia="zh-CN" w:bidi="ar-SA"/>
        </w:rPr>
        <w:t>《上市公司信息披露管理办法》第五十一条第三款、五十二条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的规定，我局决定对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highlight w:val="none"/>
          <w:lang w:eastAsia="zh-CN"/>
        </w:rPr>
        <w:t>东莞市华立实业股份有限公司、谭洪汝、谭栩杰、何全洪、谢志昆、卢旭球、孙媛媛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采取出具警示函的行政监管措施。你公司及相关人员应认真吸取教训，及时做好整改，切实加强对证券法律法规的学习，依法真实、准确、完整、及时、公平地履行信息披露义务。同时公司应对相关责任人员进行内部问责，于收到本决定书30日内向我局报送整改报告、内部问责情况，并抄报上海证券交易所。</w:t>
      </w:r>
    </w:p>
    <w:p>
      <w:pPr>
        <w:pStyle w:val="2"/>
        <w:overflowPunct w:val="0"/>
        <w:snapToGrid w:val="0"/>
        <w:spacing w:beforeLines="0" w:afterLines="0" w:line="336" w:lineRule="auto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2"/>
          <w:szCs w:val="22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8"/>
          <w:szCs w:val="28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抄送：证监会上市司、法治司；上海证券交易所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7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EE4BBD"/>
    <w:rsid w:val="1DA34279"/>
    <w:rsid w:val="2FAD3671"/>
    <w:rsid w:val="3CEF823B"/>
    <w:rsid w:val="3F6D4692"/>
    <w:rsid w:val="3FFEBA6C"/>
    <w:rsid w:val="75FBB0D8"/>
    <w:rsid w:val="7D7F3021"/>
    <w:rsid w:val="7DB7670A"/>
    <w:rsid w:val="7F1FAC59"/>
    <w:rsid w:val="7FFF19E2"/>
    <w:rsid w:val="7FFFC0CF"/>
    <w:rsid w:val="9DEE4BBD"/>
    <w:rsid w:val="F67D7D58"/>
    <w:rsid w:val="F6B9DC37"/>
    <w:rsid w:val="F7D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2024-10-04T09:21:00Z</dcterms:created>
  <dc:creator>谭裔江</dc:creator>
  <cp:lastModifiedBy>谭裔江</cp:lastModifiedBy>
  <dcterms:modified xsi:type="dcterms:W3CDTF">2024-11-08T17:19:35Z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2A626849A5ADC099A7D72D67410D2F0D</vt:lpwstr>
  </property>
</Properties>
</file>