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40170">
      <w:pPr>
        <w:pStyle w:val="2"/>
        <w:ind w:firstLine="200" w:firstLineChars="100"/>
        <w:rPr>
          <w:rFonts w:ascii="宋体" w:hAnsi="宋体" w:eastAsia="宋体" w:cs="宋体"/>
          <w:sz w:val="20"/>
          <w:szCs w:val="20"/>
          <w:lang w:val="en-US"/>
        </w:rPr>
      </w:pPr>
      <w:r>
        <w:rPr>
          <w:rFonts w:hint="eastAsia" w:ascii="宋体" w:hAnsi="宋体" w:eastAsia="宋体" w:cs="宋体"/>
          <w:sz w:val="20"/>
          <w:szCs w:val="20"/>
          <w:lang w:val="en-US"/>
        </w:rPr>
        <w:t xml:space="preserve">证券代码：600735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证券简称：新华锦</w:t>
      </w:r>
    </w:p>
    <w:p w14:paraId="4B2871B5">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山东新华锦国际股份有限公司</w:t>
      </w:r>
    </w:p>
    <w:p w14:paraId="757F1B71">
      <w:pPr>
        <w:spacing w:line="360" w:lineRule="auto"/>
        <w:jc w:val="center"/>
        <w:rPr>
          <w:rFonts w:ascii="宋体" w:hAnsi="宋体" w:eastAsia="宋体" w:cs="宋体"/>
          <w:sz w:val="36"/>
          <w:szCs w:val="36"/>
        </w:rPr>
      </w:pPr>
      <w:r>
        <w:rPr>
          <w:rFonts w:hint="eastAsia" w:ascii="宋体" w:hAnsi="宋体" w:eastAsia="宋体" w:cs="宋体"/>
          <w:b/>
          <w:bCs/>
          <w:sz w:val="36"/>
          <w:szCs w:val="36"/>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77"/>
        <w:gridCol w:w="6048"/>
      </w:tblGrid>
      <w:tr w14:paraId="18699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477" w:type="dxa"/>
            <w:vAlign w:val="center"/>
          </w:tcPr>
          <w:p w14:paraId="68FE6EED">
            <w:pPr>
              <w:pStyle w:val="13"/>
              <w:spacing w:before="7"/>
              <w:rPr>
                <w:rFonts w:ascii="宋体" w:hAnsi="宋体" w:eastAsia="宋体" w:cs="宋体"/>
                <w:b/>
                <w:bCs/>
                <w:sz w:val="20"/>
                <w:szCs w:val="20"/>
              </w:rPr>
            </w:pPr>
          </w:p>
          <w:p w14:paraId="47D13AA1">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048" w:type="dxa"/>
          </w:tcPr>
          <w:p w14:paraId="5FAE91A0">
            <w:pPr>
              <w:pStyle w:val="13"/>
              <w:spacing w:before="7"/>
              <w:rPr>
                <w:rFonts w:ascii="宋体" w:hAnsi="宋体" w:eastAsia="宋体" w:cs="宋体"/>
                <w:sz w:val="20"/>
                <w:szCs w:val="20"/>
              </w:rPr>
            </w:pPr>
          </w:p>
          <w:p w14:paraId="4E2962F7">
            <w:pPr>
              <w:pStyle w:val="13"/>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682DB084">
            <w:pPr>
              <w:pStyle w:val="13"/>
              <w:spacing w:before="11"/>
              <w:rPr>
                <w:rFonts w:ascii="宋体" w:hAnsi="宋体" w:eastAsia="宋体" w:cs="宋体"/>
                <w:sz w:val="20"/>
                <w:szCs w:val="20"/>
              </w:rPr>
            </w:pPr>
          </w:p>
          <w:p w14:paraId="3445FBFA">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D519869">
            <w:pPr>
              <w:pStyle w:val="13"/>
              <w:spacing w:before="8"/>
              <w:rPr>
                <w:rFonts w:ascii="宋体" w:hAnsi="宋体" w:eastAsia="宋体" w:cs="宋体"/>
                <w:sz w:val="20"/>
                <w:szCs w:val="20"/>
              </w:rPr>
            </w:pPr>
          </w:p>
          <w:p w14:paraId="4ECFABB7">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1E01D52">
            <w:pPr>
              <w:pStyle w:val="13"/>
              <w:spacing w:before="8"/>
              <w:rPr>
                <w:rFonts w:ascii="宋体" w:hAnsi="宋体" w:eastAsia="宋体" w:cs="宋体"/>
                <w:sz w:val="20"/>
                <w:szCs w:val="20"/>
              </w:rPr>
            </w:pPr>
          </w:p>
          <w:p w14:paraId="6F1CE86A">
            <w:pPr>
              <w:pStyle w:val="13"/>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2A818531">
            <w:pPr>
              <w:pStyle w:val="13"/>
              <w:spacing w:before="11"/>
              <w:rPr>
                <w:rFonts w:ascii="宋体" w:hAnsi="宋体" w:eastAsia="宋体" w:cs="宋体"/>
                <w:sz w:val="20"/>
                <w:szCs w:val="20"/>
              </w:rPr>
            </w:pPr>
          </w:p>
          <w:p w14:paraId="39F12DBE">
            <w:pPr>
              <w:pStyle w:val="13"/>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其他（</w:t>
            </w:r>
            <w:r>
              <w:rPr>
                <w:rFonts w:hint="eastAsia" w:cs="宋体" w:asciiTheme="minorEastAsia" w:hAnsiTheme="minorEastAsia" w:eastAsiaTheme="minorEastAsia"/>
                <w:sz w:val="20"/>
                <w:szCs w:val="20"/>
                <w:lang w:val="en-US" w:eastAsia="zh-CN"/>
              </w:rPr>
              <w:t>2024年青岛辖区上市公司投资者网上集体接待日活动</w:t>
            </w:r>
          </w:p>
        </w:tc>
      </w:tr>
      <w:tr w14:paraId="2FC4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477" w:type="dxa"/>
            <w:vAlign w:val="center"/>
          </w:tcPr>
          <w:p w14:paraId="29AF7817">
            <w:pPr>
              <w:pStyle w:val="13"/>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6048" w:type="dxa"/>
            <w:vAlign w:val="center"/>
          </w:tcPr>
          <w:p w14:paraId="44B60115">
            <w:pPr>
              <w:pStyle w:val="13"/>
              <w:spacing w:before="100" w:beforeAutospacing="1" w:line="360" w:lineRule="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线上参与</w:t>
            </w:r>
            <w:r>
              <w:rPr>
                <w:rFonts w:hint="eastAsia" w:cs="宋体" w:asciiTheme="minorEastAsia" w:hAnsiTheme="minorEastAsia" w:eastAsiaTheme="minorEastAsia"/>
                <w:sz w:val="20"/>
                <w:szCs w:val="20"/>
                <w:lang w:val="en-US" w:eastAsia="zh-CN"/>
              </w:rPr>
              <w:t>2024年青岛辖区上市公司投资者网上集体接待日活动</w:t>
            </w:r>
          </w:p>
        </w:tc>
      </w:tr>
      <w:tr w14:paraId="4966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6" w:hRule="atLeast"/>
          <w:jc w:val="center"/>
        </w:trPr>
        <w:tc>
          <w:tcPr>
            <w:tcW w:w="2477" w:type="dxa"/>
            <w:vAlign w:val="center"/>
          </w:tcPr>
          <w:p w14:paraId="145DCBD1">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048" w:type="dxa"/>
            <w:vAlign w:val="center"/>
          </w:tcPr>
          <w:p w14:paraId="3D8BEE1F">
            <w:pPr>
              <w:spacing w:before="100" w:beforeAutospacing="1" w:line="360" w:lineRule="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11</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28</w:t>
            </w:r>
            <w:r>
              <w:rPr>
                <w:rFonts w:hint="eastAsia" w:asciiTheme="minorEastAsia" w:hAnsiTheme="minorEastAsia" w:eastAsiaTheme="minorEastAsia" w:cstheme="minorEastAsia"/>
                <w:sz w:val="20"/>
                <w:szCs w:val="20"/>
              </w:rPr>
              <w:t>日 1</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:00-1</w:t>
            </w: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w:t>
            </w:r>
            <w:r>
              <w:rPr>
                <w:rFonts w:asciiTheme="minorEastAsia" w:hAnsiTheme="minorEastAsia" w:eastAsiaTheme="minorEastAsia" w:cstheme="minorEastAsia"/>
                <w:sz w:val="20"/>
                <w:szCs w:val="20"/>
              </w:rPr>
              <w:t>0</w:t>
            </w:r>
            <w:r>
              <w:rPr>
                <w:rFonts w:hint="eastAsia" w:asciiTheme="minorEastAsia" w:hAnsiTheme="minorEastAsia" w:eastAsiaTheme="minorEastAsia" w:cstheme="minorEastAsia"/>
                <w:sz w:val="20"/>
                <w:szCs w:val="20"/>
              </w:rPr>
              <w:t>0</w:t>
            </w:r>
          </w:p>
        </w:tc>
      </w:tr>
      <w:tr w14:paraId="0ECC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31" w:hRule="atLeast"/>
          <w:jc w:val="center"/>
        </w:trPr>
        <w:tc>
          <w:tcPr>
            <w:tcW w:w="2477" w:type="dxa"/>
            <w:vAlign w:val="center"/>
          </w:tcPr>
          <w:p w14:paraId="0710A010">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048" w:type="dxa"/>
            <w:vAlign w:val="center"/>
          </w:tcPr>
          <w:p w14:paraId="29C48E4E">
            <w:pPr>
              <w:rPr>
                <w:rFonts w:cs="宋体" w:asciiTheme="minorEastAsia" w:hAnsiTheme="minorEastAsia" w:eastAsiaTheme="minorEastAsia"/>
                <w:sz w:val="20"/>
                <w:szCs w:val="20"/>
                <w:lang w:val="en-US"/>
              </w:rPr>
            </w:pPr>
            <w:r>
              <w:rPr>
                <w:rFonts w:hint="eastAsia" w:asciiTheme="minorEastAsia" w:hAnsiTheme="minorEastAsia" w:eastAsiaTheme="minorEastAsia" w:cstheme="minorEastAsia"/>
                <w:sz w:val="20"/>
                <w:szCs w:val="20"/>
                <w:lang w:val="en-US" w:eastAsia="zh-CN"/>
              </w:rPr>
              <w:t>中国证券报中证网（https://www.cs.com.cn）</w:t>
            </w:r>
          </w:p>
        </w:tc>
      </w:tr>
      <w:tr w14:paraId="0033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cantSplit/>
          <w:jc w:val="center"/>
        </w:trPr>
        <w:tc>
          <w:tcPr>
            <w:tcW w:w="2477" w:type="dxa"/>
            <w:vAlign w:val="center"/>
          </w:tcPr>
          <w:p w14:paraId="00E44E80">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048" w:type="dxa"/>
            <w:vAlign w:val="center"/>
          </w:tcPr>
          <w:p w14:paraId="7C56E420">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textAlignment w:val="auto"/>
              <w:rPr>
                <w:rFonts w:hint="default" w:ascii="宋体" w:hAnsi="宋体" w:eastAsia="宋体" w:cs="宋体"/>
                <w:sz w:val="20"/>
                <w:szCs w:val="20"/>
                <w:lang w:val="en-US" w:eastAsia="zh-CN"/>
              </w:rPr>
            </w:pPr>
            <w:r>
              <w:rPr>
                <w:rFonts w:hint="eastAsia" w:ascii="宋体" w:hAnsi="宋体" w:eastAsia="宋体" w:cs="宋体"/>
                <w:sz w:val="20"/>
                <w:szCs w:val="20"/>
              </w:rPr>
              <w:t>总裁、</w:t>
            </w:r>
            <w:r>
              <w:rPr>
                <w:rFonts w:ascii="宋体" w:hAnsi="宋体" w:eastAsia="宋体" w:cs="宋体"/>
                <w:sz w:val="20"/>
                <w:szCs w:val="20"/>
              </w:rPr>
              <w:t>董事</w:t>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孟昭洁</w:t>
            </w:r>
            <w:r>
              <w:rPr>
                <w:rFonts w:ascii="宋体" w:hAnsi="宋体" w:eastAsia="宋体" w:cs="宋体"/>
                <w:sz w:val="20"/>
                <w:szCs w:val="20"/>
              </w:rPr>
              <w:br w:type="textWrapping"/>
            </w:r>
            <w:r>
              <w:rPr>
                <w:rFonts w:hint="eastAsia" w:ascii="宋体" w:hAnsi="宋体" w:eastAsia="宋体" w:cs="宋体"/>
                <w:sz w:val="20"/>
                <w:szCs w:val="20"/>
              </w:rPr>
              <w:t>副总</w:t>
            </w:r>
            <w:r>
              <w:rPr>
                <w:rFonts w:hint="eastAsia" w:ascii="宋体" w:hAnsi="宋体" w:eastAsia="宋体" w:cs="宋体"/>
                <w:sz w:val="20"/>
                <w:szCs w:val="20"/>
                <w:lang w:val="en-US" w:eastAsia="zh-CN"/>
              </w:rPr>
              <w:t>裁</w:t>
            </w:r>
            <w:r>
              <w:rPr>
                <w:rFonts w:hint="eastAsia" w:ascii="宋体" w:hAnsi="宋体" w:eastAsia="宋体" w:cs="宋体"/>
                <w:sz w:val="20"/>
                <w:szCs w:val="20"/>
              </w:rPr>
              <w:t>、</w:t>
            </w:r>
            <w:r>
              <w:rPr>
                <w:rFonts w:ascii="宋体" w:hAnsi="宋体" w:eastAsia="宋体" w:cs="宋体"/>
                <w:sz w:val="20"/>
                <w:szCs w:val="20"/>
              </w:rPr>
              <w:t xml:space="preserve">财务总监 </w:t>
            </w:r>
            <w:r>
              <w:rPr>
                <w:rFonts w:hint="eastAsia" w:ascii="宋体" w:hAnsi="宋体" w:eastAsia="宋体" w:cs="宋体"/>
                <w:sz w:val="20"/>
                <w:szCs w:val="20"/>
                <w:lang w:val="en-US" w:eastAsia="zh-CN"/>
              </w:rPr>
              <w:t>曹旭</w:t>
            </w:r>
          </w:p>
          <w:p w14:paraId="3BA57A55">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textAlignment w:val="auto"/>
              <w:rPr>
                <w:rFonts w:hint="eastAsia" w:ascii="宋体" w:hAnsi="宋体" w:eastAsia="宋体" w:cs="宋体"/>
                <w:sz w:val="20"/>
                <w:szCs w:val="20"/>
              </w:rPr>
            </w:pPr>
            <w:r>
              <w:rPr>
                <w:rFonts w:ascii="宋体" w:hAnsi="宋体" w:eastAsia="宋体" w:cs="宋体"/>
                <w:sz w:val="20"/>
                <w:szCs w:val="20"/>
              </w:rPr>
              <w:t xml:space="preserve">董事会秘书 </w:t>
            </w:r>
            <w:r>
              <w:rPr>
                <w:rFonts w:hint="eastAsia" w:ascii="宋体" w:hAnsi="宋体" w:eastAsia="宋体" w:cs="宋体"/>
                <w:sz w:val="20"/>
                <w:szCs w:val="20"/>
                <w:lang w:val="en-US" w:eastAsia="zh-CN"/>
              </w:rPr>
              <w:t>王燕妮</w:t>
            </w:r>
          </w:p>
        </w:tc>
      </w:tr>
      <w:tr w14:paraId="0EB8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477" w:type="dxa"/>
          </w:tcPr>
          <w:p w14:paraId="091F9D65">
            <w:pPr>
              <w:pStyle w:val="13"/>
              <w:rPr>
                <w:rFonts w:ascii="宋体" w:hAnsi="宋体" w:eastAsia="宋体" w:cs="宋体"/>
                <w:b/>
                <w:bCs/>
                <w:sz w:val="20"/>
                <w:szCs w:val="20"/>
              </w:rPr>
            </w:pPr>
          </w:p>
          <w:p w14:paraId="1684D0B1">
            <w:pPr>
              <w:pStyle w:val="13"/>
              <w:rPr>
                <w:rFonts w:ascii="宋体" w:hAnsi="宋体" w:eastAsia="宋体" w:cs="宋体"/>
                <w:b/>
                <w:bCs/>
                <w:sz w:val="20"/>
                <w:szCs w:val="20"/>
              </w:rPr>
            </w:pPr>
          </w:p>
          <w:p w14:paraId="0EF58F58">
            <w:pPr>
              <w:pStyle w:val="13"/>
              <w:spacing w:before="5"/>
              <w:rPr>
                <w:rFonts w:ascii="宋体" w:hAnsi="宋体" w:eastAsia="宋体" w:cs="宋体"/>
                <w:b/>
                <w:bCs/>
                <w:sz w:val="20"/>
                <w:szCs w:val="20"/>
              </w:rPr>
            </w:pPr>
          </w:p>
          <w:p w14:paraId="7677FF0E">
            <w:pPr>
              <w:pStyle w:val="13"/>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048" w:type="dxa"/>
          </w:tcPr>
          <w:p w14:paraId="57416FB5">
            <w:pPr>
              <w:pStyle w:val="13"/>
              <w:spacing w:before="100" w:beforeAutospacing="1" w:line="360" w:lineRule="auto"/>
              <w:rPr>
                <w:rFonts w:hint="eastAsia" w:ascii="宋体" w:hAnsi="宋体" w:eastAsia="宋体" w:cs="宋体"/>
                <w:sz w:val="20"/>
                <w:highlight w:val="yellow"/>
                <w:lang w:val="en-US" w:eastAsia="zh-CN"/>
              </w:rPr>
            </w:pPr>
            <w:r>
              <w:rPr>
                <w:rFonts w:ascii="宋体" w:hAnsi="宋体" w:eastAsia="宋体" w:cs="宋体"/>
                <w:b/>
                <w:sz w:val="20"/>
              </w:rPr>
              <w:t xml:space="preserve">    1.</w:t>
            </w:r>
            <w:r>
              <w:rPr>
                <w:rFonts w:hint="eastAsia"/>
                <w:highlight w:val="none"/>
              </w:rPr>
              <w:t xml:space="preserve"> </w:t>
            </w:r>
            <w:r>
              <w:rPr>
                <w:rFonts w:hint="eastAsia" w:ascii="宋体" w:hAnsi="宋体" w:eastAsia="宋体" w:cs="宋体"/>
                <w:b/>
                <w:sz w:val="20"/>
                <w:highlight w:val="none"/>
              </w:rPr>
              <w:t>公司对出口业务有何规划？</w:t>
            </w:r>
            <w:r>
              <w:rPr>
                <w:rFonts w:ascii="宋体" w:hAnsi="宋体" w:eastAsia="宋体" w:cs="宋体"/>
                <w:b/>
                <w:sz w:val="20"/>
                <w:highlight w:val="none"/>
              </w:rPr>
              <w:br w:type="textWrapping"/>
            </w:r>
            <w:r>
              <w:rPr>
                <w:rFonts w:ascii="宋体" w:hAnsi="宋体" w:eastAsia="宋体" w:cs="宋体"/>
                <w:sz w:val="20"/>
                <w:highlight w:val="none"/>
              </w:rPr>
              <w:t xml:space="preserve">    </w:t>
            </w:r>
            <w:r>
              <w:rPr>
                <w:rFonts w:hint="eastAsia" w:ascii="宋体" w:hAnsi="宋体" w:eastAsia="宋体" w:cs="宋体"/>
                <w:sz w:val="20"/>
                <w:highlight w:val="none"/>
              </w:rPr>
              <w:t>答:</w:t>
            </w:r>
            <w:r>
              <w:rPr>
                <w:rFonts w:hint="eastAsia" w:ascii="宋体" w:hAnsi="宋体" w:eastAsia="宋体" w:cs="宋体"/>
                <w:sz w:val="20"/>
              </w:rPr>
              <w:t>您好，公司出口业务将进一步聚焦发制品和纺织服装产品，巩固发制品在国际贸易领域的国内领先地位，提高市场竞争力，扩大市场份额，增加市场占有率。 纺织服装业务将逐步向服装出口业务的产业链两端延伸，加大在上游生产端和下游渠道端的布局，实现业务发展规模和发展质量的升级。 谢谢关注</w:t>
            </w:r>
            <w:r>
              <w:rPr>
                <w:rFonts w:hint="eastAsia" w:ascii="宋体" w:hAnsi="宋体" w:eastAsia="宋体" w:cs="宋体"/>
                <w:sz w:val="20"/>
                <w:lang w:eastAsia="zh-CN"/>
              </w:rPr>
              <w:t>。</w:t>
            </w:r>
          </w:p>
          <w:p w14:paraId="150C8F63">
            <w:pPr>
              <w:pStyle w:val="13"/>
              <w:spacing w:before="100" w:beforeAutospacing="1" w:line="360" w:lineRule="auto"/>
              <w:ind w:firstLine="401"/>
              <w:rPr>
                <w:rFonts w:hint="eastAsia" w:ascii="宋体" w:hAnsi="宋体" w:eastAsia="宋体" w:cs="宋体"/>
                <w:sz w:val="20"/>
                <w:highlight w:val="none"/>
              </w:rPr>
            </w:pPr>
            <w:r>
              <w:rPr>
                <w:rFonts w:ascii="宋体" w:hAnsi="宋体" w:eastAsia="宋体" w:cs="宋体"/>
                <w:b/>
                <w:sz w:val="20"/>
                <w:highlight w:val="none"/>
              </w:rPr>
              <w:t>2.</w:t>
            </w:r>
            <w:r>
              <w:rPr>
                <w:rFonts w:hint="eastAsia" w:ascii="宋体" w:hAnsi="宋体" w:eastAsia="宋体" w:cs="宋体"/>
                <w:b/>
                <w:sz w:val="20"/>
                <w:highlight w:val="none"/>
              </w:rPr>
              <w:t xml:space="preserve"> 公司近期有无再融资计划？</w:t>
            </w:r>
            <w:r>
              <w:rPr>
                <w:rFonts w:ascii="宋体" w:hAnsi="宋体" w:eastAsia="宋体" w:cs="宋体"/>
                <w:b/>
                <w:sz w:val="20"/>
                <w:highlight w:val="none"/>
              </w:rPr>
              <w:br w:type="textWrapping"/>
            </w:r>
            <w:r>
              <w:rPr>
                <w:rFonts w:ascii="宋体" w:hAnsi="宋体" w:eastAsia="宋体" w:cs="宋体"/>
                <w:sz w:val="20"/>
                <w:highlight w:val="none"/>
              </w:rPr>
              <w:t xml:space="preserve">    答:</w:t>
            </w:r>
            <w:r>
              <w:rPr>
                <w:rFonts w:hint="eastAsia" w:ascii="宋体" w:hAnsi="宋体" w:eastAsia="宋体" w:cs="宋体"/>
                <w:sz w:val="20"/>
                <w:highlight w:val="none"/>
              </w:rPr>
              <w:t>您好，公司再融资计划需根据公司业务发展情况以及最新监管要求来确定。目前暂无融资计划，后续如有，公司会按照相关法规要求履行相应信息披露程序，请及时关注公司公告。 谢谢关注。</w:t>
            </w:r>
          </w:p>
          <w:p w14:paraId="62AF2FCD">
            <w:pPr>
              <w:pStyle w:val="13"/>
              <w:spacing w:before="100" w:beforeAutospacing="1" w:line="360" w:lineRule="auto"/>
              <w:ind w:firstLine="401"/>
              <w:rPr>
                <w:rFonts w:hint="eastAsia" w:ascii="宋体" w:hAnsi="宋体" w:eastAsia="宋体" w:cs="宋体"/>
                <w:b/>
                <w:sz w:val="20"/>
              </w:rPr>
            </w:pPr>
            <w:r>
              <w:rPr>
                <w:rFonts w:ascii="宋体" w:hAnsi="宋体" w:eastAsia="宋体" w:cs="宋体"/>
                <w:b/>
                <w:sz w:val="20"/>
              </w:rPr>
              <w:t>3.</w:t>
            </w:r>
            <w:r>
              <w:rPr>
                <w:rFonts w:hint="eastAsia"/>
              </w:rPr>
              <w:t xml:space="preserve"> </w:t>
            </w:r>
            <w:r>
              <w:rPr>
                <w:rFonts w:hint="eastAsia" w:ascii="宋体" w:hAnsi="宋体" w:eastAsia="宋体" w:cs="宋体"/>
                <w:b/>
                <w:sz w:val="20"/>
              </w:rPr>
              <w:t>养老行业利好不断，公司在养老领域布局的怎么样了？</w:t>
            </w:r>
          </w:p>
          <w:p w14:paraId="79249F5D">
            <w:pPr>
              <w:pStyle w:val="13"/>
              <w:spacing w:before="100" w:beforeAutospacing="1" w:line="360" w:lineRule="auto"/>
              <w:ind w:firstLine="401"/>
              <w:rPr>
                <w:rFonts w:hint="eastAsia" w:ascii="宋体" w:hAnsi="宋体" w:eastAsia="宋体" w:cs="宋体"/>
                <w:sz w:val="20"/>
              </w:rPr>
            </w:pPr>
            <w:r>
              <w:rPr>
                <w:rFonts w:ascii="宋体" w:hAnsi="宋体" w:eastAsia="宋体" w:cs="宋体"/>
                <w:sz w:val="20"/>
              </w:rPr>
              <w:t>答:</w:t>
            </w:r>
            <w:r>
              <w:rPr>
                <w:rFonts w:hint="eastAsia" w:ascii="宋体" w:hAnsi="宋体" w:eastAsia="宋体" w:cs="宋体"/>
                <w:sz w:val="20"/>
              </w:rPr>
              <w:t xml:space="preserve"> 您好，公司养老大健康业务主要通过公司子公司长生运营开展。长生运营是一家轻资产运营的养老服务公司，可以为国内的养老机构提供从总体规划、功能设计、机构筹备、人员培训、养老体系建设与运营管理的全流程咨询服务。 </w:t>
            </w:r>
          </w:p>
          <w:p w14:paraId="2571AB80">
            <w:pPr>
              <w:pStyle w:val="13"/>
              <w:spacing w:before="100" w:beforeAutospacing="1" w:line="360" w:lineRule="auto"/>
              <w:ind w:firstLine="401"/>
              <w:rPr>
                <w:rFonts w:hint="eastAsia" w:ascii="宋体" w:hAnsi="宋体" w:eastAsia="宋体" w:cs="宋体"/>
                <w:sz w:val="20"/>
              </w:rPr>
            </w:pPr>
            <w:r>
              <w:rPr>
                <w:rFonts w:hint="eastAsia" w:ascii="宋体" w:hAnsi="宋体" w:eastAsia="宋体" w:cs="宋体"/>
                <w:sz w:val="20"/>
              </w:rPr>
              <w:t>公司坚持以轻资产运营为主的运营模式开展养老大健康业务，截至目前，公司提供咨询及运营的养老项目覆盖青岛、威海、郑州等多个地区，规模效应和品牌效应日益显现。由长生运营托管的“新华锦·长乐居”项目被评为“青岛市五星级养老机构”，入选山东省养老服务标准化试点名单；全面托管和运营的“小蓬莱康养社区”是崂山湾生态健康城第一个落地康养项目，形成“医、食、住、行、康、游、学、乐、氧”九大服务板块及多项定制化服务；利用国外资源优势，开展国际管培生、赴日研学商务考察项目。谢谢关注。</w:t>
            </w:r>
          </w:p>
          <w:p w14:paraId="14CCB8F2">
            <w:pPr>
              <w:pStyle w:val="13"/>
              <w:spacing w:before="100" w:beforeAutospacing="1" w:line="360" w:lineRule="auto"/>
              <w:ind w:firstLine="402" w:firstLineChars="200"/>
              <w:rPr>
                <w:rFonts w:hint="eastAsia" w:ascii="宋体" w:hAnsi="宋体" w:eastAsia="宋体" w:cs="宋体"/>
                <w:b/>
                <w:sz w:val="20"/>
              </w:rPr>
            </w:pPr>
            <w:r>
              <w:rPr>
                <w:rFonts w:ascii="宋体" w:hAnsi="宋体" w:eastAsia="宋体" w:cs="宋体"/>
                <w:b/>
                <w:sz w:val="20"/>
              </w:rPr>
              <w:t xml:space="preserve"> 4.</w:t>
            </w:r>
            <w:r>
              <w:rPr>
                <w:rFonts w:hint="eastAsia"/>
              </w:rPr>
              <w:t xml:space="preserve"> </w:t>
            </w:r>
            <w:r>
              <w:rPr>
                <w:rFonts w:hint="eastAsia" w:ascii="宋体" w:hAnsi="宋体" w:eastAsia="宋体" w:cs="宋体"/>
                <w:b/>
                <w:sz w:val="20"/>
              </w:rPr>
              <w:t>公司主营业务是什么？</w:t>
            </w:r>
          </w:p>
          <w:p w14:paraId="397493CB">
            <w:pPr>
              <w:pStyle w:val="13"/>
              <w:spacing w:before="100" w:beforeAutospacing="1" w:line="360" w:lineRule="auto"/>
              <w:ind w:firstLine="400"/>
              <w:rPr>
                <w:rFonts w:hint="eastAsia" w:ascii="宋体" w:hAnsi="宋体" w:eastAsia="宋体" w:cs="宋体"/>
                <w:sz w:val="20"/>
              </w:rPr>
            </w:pPr>
            <w:r>
              <w:rPr>
                <w:rFonts w:ascii="宋体" w:hAnsi="宋体" w:eastAsia="宋体" w:cs="宋体"/>
                <w:sz w:val="20"/>
              </w:rPr>
              <w:t>答:</w:t>
            </w:r>
            <w:r>
              <w:rPr>
                <w:rFonts w:hint="eastAsia"/>
              </w:rPr>
              <w:t xml:space="preserve"> </w:t>
            </w:r>
            <w:r>
              <w:rPr>
                <w:rFonts w:hint="eastAsia" w:ascii="宋体" w:hAnsi="宋体" w:eastAsia="宋体" w:cs="宋体"/>
                <w:sz w:val="20"/>
              </w:rPr>
              <w:t>您好，公司主要围绕“新贸易、新材料”开展业务经营：一是发制品、纺织服装的出口和跨境电商进口，出口业务和进口业务双向循环；二是围绕石墨矿开展石墨深加工及石墨应用的新材料业务。谢谢关注。</w:t>
            </w:r>
          </w:p>
          <w:p w14:paraId="08128878">
            <w:pPr>
              <w:pStyle w:val="13"/>
              <w:numPr>
                <w:ilvl w:val="0"/>
                <w:numId w:val="0"/>
              </w:numPr>
              <w:spacing w:before="100" w:beforeAutospacing="1" w:line="360" w:lineRule="auto"/>
              <w:ind w:firstLine="402" w:firstLineChars="200"/>
              <w:rPr>
                <w:rFonts w:hint="eastAsia" w:ascii="宋体" w:hAnsi="宋体" w:eastAsia="宋体" w:cs="宋体"/>
                <w:sz w:val="20"/>
              </w:rPr>
            </w:pPr>
            <w:r>
              <w:rPr>
                <w:rFonts w:hint="eastAsia" w:ascii="宋体" w:hAnsi="宋体" w:eastAsia="宋体" w:cs="宋体"/>
                <w:b/>
                <w:sz w:val="20"/>
                <w:lang w:val="zh-CN" w:eastAsia="zh-CN"/>
              </w:rPr>
              <w:t>5、</w:t>
            </w:r>
            <w:r>
              <w:rPr>
                <w:rFonts w:hint="eastAsia" w:ascii="宋体" w:hAnsi="宋体" w:eastAsia="宋体" w:cs="宋体"/>
                <w:b/>
                <w:sz w:val="20"/>
              </w:rPr>
              <w:t>青岛森汇《采矿许可证》办理进度缓慢的原因，现在办理进度如何？</w:t>
            </w:r>
          </w:p>
          <w:p w14:paraId="0440F367">
            <w:pPr>
              <w:pStyle w:val="13"/>
              <w:numPr>
                <w:ilvl w:val="0"/>
                <w:numId w:val="0"/>
              </w:numPr>
              <w:spacing w:before="100" w:beforeAutospacing="1" w:line="360" w:lineRule="auto"/>
              <w:ind w:firstLine="400" w:firstLineChars="200"/>
              <w:rPr>
                <w:rFonts w:hint="eastAsia" w:ascii="宋体" w:hAnsi="宋体" w:eastAsia="宋体" w:cs="宋体"/>
                <w:sz w:val="20"/>
              </w:rPr>
            </w:pPr>
            <w:r>
              <w:rPr>
                <w:rFonts w:ascii="宋体" w:hAnsi="宋体" w:eastAsia="宋体" w:cs="宋体"/>
                <w:sz w:val="20"/>
              </w:rPr>
              <w:t>答:</w:t>
            </w:r>
            <w:r>
              <w:rPr>
                <w:rFonts w:hint="eastAsia" w:ascii="宋体" w:hAnsi="宋体" w:eastAsia="宋体" w:cs="宋体"/>
                <w:sz w:val="20"/>
              </w:rPr>
              <w:t xml:space="preserve">尊敬的投资者您好，近年来国家关于石墨矿相关的政策不断调整和收紧，天然石墨的稀缺性进一步凸显，自2020年5月1日起晶质石墨矿种审批权限上收至国家自然资源部。青岛森汇《采矿许可证》到期后，需逐级向山东省自然资源厅、自然资源部等部门提交采矿权延续申请材料，审批层级增多，一定程度上影响了办理效率。截至目前青岛森汇采矿权延续手续的办理已取得实质性进展，《石墨矿矿产资源开发利用方案》已通过国家自然资源部专家评审并完成公示，《矿山地质环境保护与土地复垦方案》也已通过了专家评审，下一步将进行公示、公告。公司将进一步加快《采矿许可证》办理进展，同时，做好相关证照核发后复工复产准备。谢谢关注。   </w:t>
            </w:r>
          </w:p>
          <w:p w14:paraId="707722A9">
            <w:pPr>
              <w:pStyle w:val="13"/>
              <w:spacing w:before="100" w:beforeAutospacing="1" w:line="360" w:lineRule="auto"/>
              <w:rPr>
                <w:rFonts w:hint="eastAsia" w:ascii="宋体" w:hAnsi="宋体" w:eastAsia="宋体" w:cs="宋体"/>
                <w:sz w:val="20"/>
              </w:rPr>
            </w:pPr>
            <w:r>
              <w:rPr>
                <w:rFonts w:ascii="宋体" w:hAnsi="宋体" w:eastAsia="宋体" w:cs="宋体"/>
                <w:b/>
                <w:sz w:val="20"/>
              </w:rPr>
              <w:t xml:space="preserve"> </w:t>
            </w:r>
            <w:r>
              <w:rPr>
                <w:rFonts w:hint="eastAsia" w:ascii="宋体" w:hAnsi="宋体" w:eastAsia="宋体" w:cs="宋体"/>
                <w:b/>
                <w:sz w:val="20"/>
                <w:lang w:val="en-US" w:eastAsia="zh-CN"/>
              </w:rPr>
              <w:t xml:space="preserve">   </w:t>
            </w:r>
            <w:r>
              <w:rPr>
                <w:rFonts w:hint="eastAsia" w:ascii="宋体" w:hAnsi="宋体" w:eastAsia="宋体" w:cs="宋体"/>
                <w:b/>
                <w:sz w:val="20"/>
              </w:rPr>
              <w:t>6.国家对石墨相关物项进行出口管制，请问公司在石墨产业布局的最新进展？</w:t>
            </w:r>
            <w:r>
              <w:rPr>
                <w:rFonts w:ascii="宋体" w:hAnsi="宋体" w:eastAsia="宋体" w:cs="宋体"/>
                <w:b/>
                <w:sz w:val="20"/>
              </w:rPr>
              <w:br w:type="textWrapping"/>
            </w:r>
            <w:r>
              <w:rPr>
                <w:rFonts w:ascii="宋体" w:hAnsi="宋体" w:eastAsia="宋体" w:cs="宋体"/>
                <w:sz w:val="20"/>
              </w:rPr>
              <w:t xml:space="preserve">    答:</w:t>
            </w:r>
            <w:r>
              <w:rPr>
                <w:rFonts w:hint="eastAsia"/>
              </w:rPr>
              <w:t xml:space="preserve"> </w:t>
            </w:r>
            <w:r>
              <w:rPr>
                <w:rFonts w:hint="eastAsia" w:ascii="宋体" w:hAnsi="宋体" w:eastAsia="宋体" w:cs="宋体"/>
                <w:sz w:val="20"/>
              </w:rPr>
              <w:t>您好，公司自2020年开始布局石墨新材料行业，收购了青岛森汇和海正石墨两家矿山公司，主要从事天然鳞片石墨的生产及加工，目前尚未有石墨出口业务。青岛森汇目前尚在办理《采矿许可证》延续工作，已经获得国家自然资源部的受理，公司正在继续跟进后续审批进展，相关证照核发后公司将尽快复工复产。感谢您的关注。</w:t>
            </w:r>
          </w:p>
          <w:p w14:paraId="6D4C0164">
            <w:pPr>
              <w:pStyle w:val="13"/>
              <w:spacing w:before="100" w:beforeAutospacing="1" w:line="360" w:lineRule="auto"/>
              <w:rPr>
                <w:rFonts w:hint="eastAsia" w:ascii="宋体" w:hAnsi="宋体" w:eastAsia="宋体" w:cs="宋体"/>
                <w:b/>
                <w:sz w:val="20"/>
              </w:rPr>
            </w:pPr>
            <w:r>
              <w:rPr>
                <w:rFonts w:ascii="宋体" w:hAnsi="宋体" w:eastAsia="宋体" w:cs="宋体"/>
                <w:b/>
                <w:sz w:val="20"/>
              </w:rPr>
              <w:t xml:space="preserve">  </w:t>
            </w:r>
            <w:r>
              <w:rPr>
                <w:rFonts w:hint="eastAsia" w:ascii="宋体" w:hAnsi="宋体" w:eastAsia="宋体" w:cs="宋体"/>
                <w:b/>
                <w:sz w:val="20"/>
                <w:lang w:val="en-US" w:eastAsia="zh-CN"/>
              </w:rPr>
              <w:t xml:space="preserve">  </w:t>
            </w:r>
            <w:r>
              <w:rPr>
                <w:rFonts w:ascii="宋体" w:hAnsi="宋体" w:eastAsia="宋体" w:cs="宋体"/>
                <w:b/>
                <w:sz w:val="20"/>
              </w:rPr>
              <w:t>7.</w:t>
            </w:r>
            <w:r>
              <w:rPr>
                <w:rFonts w:hint="eastAsia"/>
              </w:rPr>
              <w:t xml:space="preserve"> </w:t>
            </w:r>
            <w:r>
              <w:rPr>
                <w:rFonts w:hint="eastAsia" w:ascii="宋体" w:hAnsi="宋体" w:eastAsia="宋体" w:cs="宋体"/>
                <w:b/>
                <w:sz w:val="20"/>
              </w:rPr>
              <w:t>请问公司下一步准备如何布局石墨产业？</w:t>
            </w:r>
          </w:p>
          <w:p w14:paraId="69FB9300">
            <w:pPr>
              <w:pStyle w:val="13"/>
              <w:spacing w:before="100" w:beforeAutospacing="1" w:line="360" w:lineRule="auto"/>
              <w:rPr>
                <w:rFonts w:hint="eastAsia" w:ascii="宋体" w:hAnsi="宋体" w:eastAsia="宋体" w:cs="宋体"/>
                <w:sz w:val="20"/>
              </w:rPr>
            </w:pPr>
            <w:r>
              <w:rPr>
                <w:rFonts w:ascii="宋体" w:hAnsi="宋体" w:eastAsia="宋体" w:cs="宋体"/>
                <w:sz w:val="20"/>
              </w:rPr>
              <w:t xml:space="preserve">   </w:t>
            </w:r>
            <w:r>
              <w:rPr>
                <w:rFonts w:hint="eastAsia" w:ascii="宋体" w:hAnsi="宋体" w:eastAsia="宋体" w:cs="宋体"/>
                <w:sz w:val="20"/>
                <w:lang w:val="en-US" w:eastAsia="zh-CN"/>
              </w:rPr>
              <w:t xml:space="preserve"> </w:t>
            </w:r>
            <w:r>
              <w:rPr>
                <w:rFonts w:ascii="宋体" w:hAnsi="宋体" w:eastAsia="宋体" w:cs="宋体"/>
                <w:sz w:val="20"/>
              </w:rPr>
              <w:t>答:</w:t>
            </w:r>
            <w:r>
              <w:rPr>
                <w:rFonts w:hint="eastAsia" w:ascii="宋体" w:hAnsi="宋体" w:eastAsia="宋体" w:cs="宋体"/>
                <w:sz w:val="20"/>
              </w:rPr>
              <w:t>尊敬的投资者您好，石墨新材料产业是公司新的战略发展方向，公司一方面在石墨开采方面通过自主研发、技术创新来努力提高石墨产品附加值，另一方面将通过外延式并购等方式布局石墨精炼、石墨制备及应用的完整产业链。新产业的布局需要综合考虑石墨价格波动、产业政策调整等方面的影响，公司将在综合考虑行业政策调整、合理评估产业布局风险的同时，积极推进石墨新产品新业务的发展。谢谢关注。</w:t>
            </w:r>
          </w:p>
          <w:p w14:paraId="7D643D73">
            <w:pPr>
              <w:pStyle w:val="13"/>
              <w:numPr>
                <w:ilvl w:val="0"/>
                <w:numId w:val="1"/>
              </w:numPr>
              <w:spacing w:before="100" w:beforeAutospacing="1" w:line="360" w:lineRule="auto"/>
              <w:ind w:left="396" w:leftChars="180" w:firstLine="0" w:firstLineChars="0"/>
              <w:rPr>
                <w:rFonts w:hint="eastAsia" w:ascii="宋体" w:hAnsi="宋体" w:eastAsia="宋体" w:cs="宋体"/>
                <w:b/>
                <w:sz w:val="20"/>
              </w:rPr>
            </w:pPr>
            <w:r>
              <w:rPr>
                <w:rFonts w:hint="eastAsia" w:ascii="宋体" w:hAnsi="宋体" w:eastAsia="宋体" w:cs="宋体"/>
                <w:b/>
                <w:sz w:val="20"/>
              </w:rPr>
              <w:t>公司未来总体发展战略是什么？</w:t>
            </w:r>
          </w:p>
          <w:p w14:paraId="4C0E60D0">
            <w:pPr>
              <w:pStyle w:val="13"/>
              <w:numPr>
                <w:numId w:val="0"/>
              </w:numPr>
              <w:spacing w:before="100" w:beforeAutospacing="1" w:line="360" w:lineRule="auto"/>
              <w:ind w:firstLine="400" w:firstLineChars="200"/>
              <w:rPr>
                <w:rFonts w:hint="eastAsia" w:ascii="宋体" w:hAnsi="宋体" w:eastAsia="宋体" w:cs="宋体"/>
                <w:sz w:val="20"/>
                <w:lang w:val="en-US" w:eastAsia="zh-CN"/>
              </w:rPr>
            </w:pPr>
            <w:bookmarkStart w:id="0" w:name="_GoBack"/>
            <w:bookmarkEnd w:id="0"/>
            <w:r>
              <w:rPr>
                <w:rFonts w:hint="eastAsia" w:ascii="宋体" w:hAnsi="宋体" w:eastAsia="宋体" w:cs="宋体"/>
                <w:sz w:val="20"/>
                <w:lang w:val="en-US" w:eastAsia="zh-CN"/>
              </w:rPr>
              <w:t>答: 尊敬的投资者您好，公司未来将在继续稳固进口+出口的“新贸易”的基础上，集中精力和资源大力发展石墨新材料产业，通过自主研发、技术创新提高石墨产品附加值，沿石墨新材料产业链进行布局。谢谢关注。</w:t>
            </w:r>
          </w:p>
          <w:p w14:paraId="49AAABE1">
            <w:pPr>
              <w:pStyle w:val="13"/>
              <w:numPr>
                <w:ilvl w:val="0"/>
                <w:numId w:val="0"/>
              </w:numPr>
              <w:spacing w:before="100" w:beforeAutospacing="1" w:line="360" w:lineRule="auto"/>
              <w:ind w:left="198" w:leftChars="90" w:firstLine="201" w:firstLineChars="100"/>
              <w:rPr>
                <w:rFonts w:hint="eastAsia" w:ascii="宋体" w:hAnsi="宋体" w:eastAsia="宋体" w:cs="宋体"/>
                <w:b/>
                <w:sz w:val="20"/>
              </w:rPr>
            </w:pPr>
            <w:r>
              <w:rPr>
                <w:rFonts w:hint="eastAsia" w:ascii="宋体" w:hAnsi="宋体" w:eastAsia="宋体" w:cs="宋体"/>
                <w:b/>
                <w:sz w:val="20"/>
                <w:lang w:val="en-US" w:eastAsia="zh-CN"/>
              </w:rPr>
              <w:t>9.</w:t>
            </w:r>
            <w:r>
              <w:rPr>
                <w:rFonts w:hint="eastAsia" w:ascii="宋体" w:hAnsi="宋体" w:eastAsia="宋体" w:cs="宋体"/>
                <w:b/>
                <w:sz w:val="20"/>
              </w:rPr>
              <w:t>请问公司在发制品业务有何优势？</w:t>
            </w:r>
          </w:p>
          <w:p w14:paraId="412F7DAE">
            <w:pPr>
              <w:pStyle w:val="13"/>
              <w:numPr>
                <w:ilvl w:val="0"/>
                <w:numId w:val="0"/>
              </w:numPr>
              <w:spacing w:before="100" w:beforeAutospacing="1" w:line="360" w:lineRule="auto"/>
              <w:ind w:firstLine="400" w:firstLineChars="200"/>
              <w:rPr>
                <w:rFonts w:hint="eastAsia" w:ascii="宋体" w:hAnsi="宋体" w:eastAsia="宋体" w:cs="宋体"/>
                <w:sz w:val="20"/>
                <w:lang w:val="en-US" w:eastAsia="zh-CN"/>
              </w:rPr>
            </w:pPr>
            <w:r>
              <w:rPr>
                <w:rFonts w:hint="eastAsia" w:ascii="宋体" w:hAnsi="宋体" w:eastAsia="宋体" w:cs="宋体"/>
                <w:sz w:val="20"/>
                <w:lang w:val="en-US" w:eastAsia="zh-CN"/>
              </w:rPr>
              <w:t>答: 您好，公司发制品业务的主要优势在于拥有完整发制品产业链、产品结构丰富、抗风险能力强，公司在境内外都拥有自主研发、生产加工基地，同时在北美布局了完善的销售渠道，积累了丰富的客户资源。谢谢关注。</w:t>
            </w:r>
          </w:p>
          <w:p w14:paraId="5089A10B">
            <w:pPr>
              <w:pStyle w:val="13"/>
              <w:numPr>
                <w:ilvl w:val="0"/>
                <w:numId w:val="2"/>
              </w:numPr>
              <w:spacing w:before="100" w:beforeAutospacing="1" w:line="360" w:lineRule="auto"/>
              <w:ind w:left="0" w:leftChars="0" w:firstLine="402" w:firstLineChars="200"/>
              <w:rPr>
                <w:rFonts w:hint="eastAsia" w:ascii="宋体" w:hAnsi="宋体" w:eastAsia="宋体" w:cs="宋体"/>
                <w:b/>
                <w:sz w:val="20"/>
              </w:rPr>
            </w:pPr>
            <w:r>
              <w:rPr>
                <w:rFonts w:hint="eastAsia" w:ascii="宋体" w:hAnsi="宋体" w:eastAsia="宋体" w:cs="宋体"/>
                <w:b/>
                <w:sz w:val="20"/>
              </w:rPr>
              <w:t>特朗普上台，公司将面临什么样的风险，公司对此有何应对措施？</w:t>
            </w:r>
          </w:p>
          <w:p w14:paraId="4A722D59">
            <w:pPr>
              <w:pStyle w:val="13"/>
              <w:numPr>
                <w:ilvl w:val="0"/>
                <w:numId w:val="0"/>
              </w:numPr>
              <w:spacing w:before="100" w:beforeAutospacing="1" w:line="360" w:lineRule="auto"/>
              <w:ind w:left="0" w:leftChars="0" w:firstLine="400" w:firstLineChars="200"/>
              <w:rPr>
                <w:rFonts w:hint="eastAsia" w:ascii="宋体" w:hAnsi="宋体" w:eastAsia="宋体" w:cs="宋体"/>
                <w:sz w:val="20"/>
                <w:lang w:val="en-US" w:eastAsia="zh-CN"/>
              </w:rPr>
            </w:pPr>
            <w:r>
              <w:rPr>
                <w:rFonts w:hint="eastAsia" w:ascii="宋体" w:hAnsi="宋体" w:eastAsia="宋体" w:cs="宋体"/>
                <w:sz w:val="20"/>
                <w:lang w:val="en-US" w:eastAsia="zh-CN"/>
              </w:rPr>
              <w:t>答: 您好，2024年特朗普再次上台后，公司预计特朗普政府将继续采取第一届任内的政策，包括反垄断调查、加征关税等措施。公司发制品主要面对美国市场，可能面临更高的出口关税，这将增加公司在美国市场的销售成本；全球政治经济的不确定性可能导致消费者信心下降，市场需求低迷；贸易紧张局势可能引发汇率波动，特别是如果美元汇率变动，将影响公司以美元计价的出口收入的换算成本，影响利润空间。 对此，公司将积极布局多元化市场，不断开拓新市场，稳固并拓宽海外生产基地，增强产品研发与创新能力，加强汇率风险管理，完善“跨境电商”结算方式。公司将加强政策研究与应对，密切关注全球政治经济动态和贸易政策变化，及时调整业务策略以应对潜在风险。谢谢关注。</w:t>
            </w:r>
          </w:p>
          <w:p w14:paraId="566DDD3C">
            <w:pPr>
              <w:pStyle w:val="13"/>
              <w:widowControl w:val="0"/>
              <w:numPr>
                <w:ilvl w:val="0"/>
                <w:numId w:val="2"/>
              </w:numPr>
              <w:autoSpaceDE w:val="0"/>
              <w:autoSpaceDN w:val="0"/>
              <w:spacing w:before="100" w:beforeAutospacing="1" w:line="360" w:lineRule="auto"/>
              <w:ind w:left="0" w:leftChars="0" w:firstLine="402" w:firstLineChars="200"/>
              <w:rPr>
                <w:rFonts w:hint="eastAsia" w:ascii="宋体" w:hAnsi="宋体" w:eastAsia="宋体" w:cs="宋体"/>
                <w:b/>
                <w:sz w:val="20"/>
              </w:rPr>
            </w:pPr>
            <w:r>
              <w:rPr>
                <w:rFonts w:hint="eastAsia" w:ascii="宋体" w:hAnsi="宋体" w:eastAsia="宋体" w:cs="宋体"/>
                <w:b/>
                <w:sz w:val="20"/>
              </w:rPr>
              <w:t>公司第三季度业绩下滑，什么原因？</w:t>
            </w:r>
          </w:p>
          <w:p w14:paraId="130F8EE2">
            <w:pPr>
              <w:pStyle w:val="13"/>
              <w:numPr>
                <w:ilvl w:val="0"/>
                <w:numId w:val="0"/>
              </w:numPr>
              <w:spacing w:before="100" w:beforeAutospacing="1" w:line="360" w:lineRule="auto"/>
              <w:ind w:firstLine="400" w:firstLineChars="200"/>
              <w:rPr>
                <w:rFonts w:hint="eastAsia" w:ascii="宋体" w:hAnsi="宋体" w:eastAsia="宋体" w:cs="宋体"/>
                <w:sz w:val="20"/>
                <w:lang w:val="en-US" w:eastAsia="zh-CN"/>
              </w:rPr>
            </w:pPr>
            <w:r>
              <w:rPr>
                <w:rFonts w:hint="eastAsia" w:ascii="宋体" w:hAnsi="宋体" w:eastAsia="宋体" w:cs="宋体"/>
                <w:sz w:val="20"/>
                <w:lang w:val="en-US" w:eastAsia="zh-CN"/>
              </w:rPr>
              <w:t>答: 您好，公司2024年前三季度营业收入及净利润出现一定程度的下滑主要是受二手车出口业务大幅下降的影响。除此之外，公司发制品和纺织品出口、跨境进口电商板块基本保持了稳定发展。未来公司将继续巩固和发展以发制品、纺织品出口及跨境进口电商业务为核心的“新贸易”业务领域，保持发制品、纺织品出口及跨境进口电商业务的竞争优势。同时不断寻求新的利润增长点，并通过优化产品结构、严格管理流程、加强成本管控、拓宽业务渠道等积极措施提升业绩。谢谢关注。</w:t>
            </w:r>
          </w:p>
          <w:p w14:paraId="5C6B865A">
            <w:pPr>
              <w:pStyle w:val="13"/>
              <w:numPr>
                <w:ilvl w:val="0"/>
                <w:numId w:val="2"/>
              </w:numPr>
              <w:spacing w:before="100" w:beforeAutospacing="1" w:line="360" w:lineRule="auto"/>
              <w:ind w:left="0" w:leftChars="0" w:firstLine="402" w:firstLineChars="200"/>
              <w:rPr>
                <w:rFonts w:hint="eastAsia" w:ascii="宋体" w:hAnsi="宋体" w:eastAsia="宋体" w:cs="宋体"/>
                <w:b/>
                <w:sz w:val="20"/>
              </w:rPr>
            </w:pPr>
            <w:r>
              <w:rPr>
                <w:rFonts w:hint="eastAsia" w:ascii="宋体" w:hAnsi="宋体" w:eastAsia="宋体" w:cs="宋体"/>
                <w:b/>
                <w:sz w:val="20"/>
              </w:rPr>
              <w:t>公司其他流动资产大幅下降，主要原因是什么？</w:t>
            </w:r>
          </w:p>
          <w:p w14:paraId="6C3A7704">
            <w:pPr>
              <w:pStyle w:val="13"/>
              <w:numPr>
                <w:ilvl w:val="0"/>
                <w:numId w:val="0"/>
              </w:numPr>
              <w:spacing w:before="100" w:beforeAutospacing="1" w:line="360" w:lineRule="auto"/>
              <w:ind w:firstLine="400" w:firstLineChars="200"/>
              <w:rPr>
                <w:rFonts w:hint="eastAsia" w:ascii="宋体" w:hAnsi="宋体" w:eastAsia="宋体" w:cs="宋体"/>
                <w:sz w:val="20"/>
                <w:lang w:val="en-US" w:eastAsia="zh-CN"/>
              </w:rPr>
            </w:pPr>
            <w:r>
              <w:rPr>
                <w:rFonts w:hint="eastAsia" w:ascii="宋体" w:hAnsi="宋体" w:eastAsia="宋体" w:cs="宋体"/>
                <w:sz w:val="20"/>
                <w:lang w:val="en-US" w:eastAsia="zh-CN"/>
              </w:rPr>
              <w:t>答: 您好，公司其他流动资产下降80.60%，主要原因为公司子公司收回业务共管履约保证金。谢谢关注。</w:t>
            </w:r>
          </w:p>
          <w:p w14:paraId="68EB1264">
            <w:pPr>
              <w:pStyle w:val="13"/>
              <w:numPr>
                <w:ilvl w:val="0"/>
                <w:numId w:val="2"/>
              </w:numPr>
              <w:spacing w:before="100" w:beforeAutospacing="1" w:line="360" w:lineRule="auto"/>
              <w:ind w:left="0" w:leftChars="0" w:firstLine="402" w:firstLineChars="200"/>
              <w:rPr>
                <w:rFonts w:hint="eastAsia" w:ascii="宋体" w:hAnsi="宋体" w:eastAsia="宋体" w:cs="宋体"/>
                <w:b/>
                <w:sz w:val="20"/>
              </w:rPr>
            </w:pPr>
            <w:r>
              <w:rPr>
                <w:rFonts w:hint="eastAsia" w:ascii="宋体" w:hAnsi="宋体" w:eastAsia="宋体" w:cs="宋体"/>
                <w:b/>
                <w:sz w:val="20"/>
              </w:rPr>
              <w:t>公司财务费用为何大幅变动？</w:t>
            </w:r>
          </w:p>
          <w:p w14:paraId="46673A46">
            <w:pPr>
              <w:pStyle w:val="13"/>
              <w:numPr>
                <w:ilvl w:val="0"/>
                <w:numId w:val="0"/>
              </w:numPr>
              <w:spacing w:before="100" w:beforeAutospacing="1" w:line="360" w:lineRule="auto"/>
              <w:ind w:firstLine="400" w:firstLineChars="200"/>
              <w:rPr>
                <w:rFonts w:hint="eastAsia" w:ascii="宋体" w:hAnsi="宋体" w:eastAsia="宋体" w:cs="宋体"/>
                <w:b/>
                <w:sz w:val="20"/>
              </w:rPr>
            </w:pPr>
            <w:r>
              <w:rPr>
                <w:rFonts w:hint="eastAsia" w:ascii="宋体" w:hAnsi="宋体" w:eastAsia="宋体" w:cs="宋体"/>
                <w:sz w:val="20"/>
                <w:lang w:val="en-US" w:eastAsia="zh-CN"/>
              </w:rPr>
              <w:t>答: 您好，公司财务费用大幅增加是由于汇率变动，公司财务费用中汇兑收益比上年同期大幅下降所致。谢谢关注。</w:t>
            </w:r>
          </w:p>
          <w:p w14:paraId="144875C6">
            <w:pPr>
              <w:pStyle w:val="13"/>
              <w:numPr>
                <w:ilvl w:val="0"/>
                <w:numId w:val="2"/>
              </w:numPr>
              <w:spacing w:before="100" w:beforeAutospacing="1" w:line="360" w:lineRule="auto"/>
              <w:ind w:left="0" w:leftChars="0" w:firstLine="402" w:firstLineChars="200"/>
              <w:rPr>
                <w:rFonts w:hint="eastAsia" w:ascii="宋体" w:hAnsi="宋体" w:eastAsia="宋体" w:cs="宋体"/>
                <w:b/>
                <w:sz w:val="20"/>
              </w:rPr>
            </w:pPr>
            <w:r>
              <w:rPr>
                <w:rFonts w:hint="eastAsia" w:ascii="宋体" w:hAnsi="宋体" w:eastAsia="宋体" w:cs="宋体"/>
                <w:b/>
                <w:sz w:val="20"/>
              </w:rPr>
              <w:t>公司有没有采取市值管理措施？</w:t>
            </w:r>
          </w:p>
          <w:p w14:paraId="247554F4">
            <w:pPr>
              <w:pStyle w:val="13"/>
              <w:numPr>
                <w:ilvl w:val="0"/>
                <w:numId w:val="0"/>
              </w:numPr>
              <w:spacing w:before="100" w:beforeAutospacing="1" w:line="360" w:lineRule="auto"/>
              <w:ind w:firstLine="400" w:firstLineChars="200"/>
              <w:rPr>
                <w:rFonts w:hint="eastAsia" w:ascii="宋体" w:hAnsi="宋体" w:eastAsia="宋体" w:cs="宋体"/>
                <w:b/>
                <w:sz w:val="20"/>
              </w:rPr>
            </w:pPr>
            <w:r>
              <w:rPr>
                <w:rFonts w:hint="eastAsia" w:ascii="宋体" w:hAnsi="宋体" w:eastAsia="宋体" w:cs="宋体"/>
                <w:sz w:val="20"/>
                <w:lang w:val="en-US" w:eastAsia="zh-CN"/>
              </w:rPr>
              <w:t>答: 尊敬的投资者您好，公司近年来经营业绩稳健，管理层将继续努力做好公司的经营管理，夯实公司发展基础；同时，不断丰富市值管理形式，加强与机构投资者、个人投资者的沟通交流，持续提升业绩，为股东创造价值。感谢您的关注。</w:t>
            </w:r>
          </w:p>
          <w:p w14:paraId="3E83C9DD">
            <w:pPr>
              <w:pStyle w:val="13"/>
              <w:numPr>
                <w:ilvl w:val="0"/>
                <w:numId w:val="0"/>
              </w:numPr>
              <w:spacing w:before="100" w:beforeAutospacing="1" w:line="360" w:lineRule="auto"/>
              <w:ind w:firstLine="400" w:firstLineChars="200"/>
              <w:rPr>
                <w:rFonts w:hint="eastAsia" w:ascii="宋体" w:hAnsi="宋体" w:eastAsia="宋体" w:cs="宋体"/>
                <w:sz w:val="20"/>
                <w:lang w:val="en-US" w:eastAsia="zh-CN"/>
              </w:rPr>
            </w:pPr>
          </w:p>
          <w:p w14:paraId="6A248514">
            <w:pPr>
              <w:pStyle w:val="13"/>
              <w:widowControl w:val="0"/>
              <w:numPr>
                <w:ilvl w:val="0"/>
                <w:numId w:val="0"/>
              </w:numPr>
              <w:tabs>
                <w:tab w:val="left" w:pos="312"/>
              </w:tabs>
              <w:autoSpaceDE w:val="0"/>
              <w:autoSpaceDN w:val="0"/>
              <w:spacing w:before="100" w:beforeAutospacing="1" w:line="360" w:lineRule="auto"/>
              <w:rPr>
                <w:rFonts w:hint="eastAsia" w:ascii="宋体" w:hAnsi="宋体" w:eastAsia="宋体" w:cs="宋体"/>
                <w:b/>
                <w:sz w:val="20"/>
              </w:rPr>
            </w:pPr>
          </w:p>
          <w:p w14:paraId="00356F9F">
            <w:pPr>
              <w:pStyle w:val="13"/>
              <w:numPr>
                <w:ilvl w:val="0"/>
                <w:numId w:val="0"/>
              </w:numPr>
              <w:spacing w:before="100" w:beforeAutospacing="1" w:line="360" w:lineRule="auto"/>
              <w:ind w:left="0" w:leftChars="0" w:firstLine="400" w:firstLineChars="200"/>
              <w:rPr>
                <w:rFonts w:hint="default" w:ascii="宋体" w:hAnsi="宋体" w:eastAsia="宋体" w:cs="宋体"/>
                <w:sz w:val="20"/>
                <w:lang w:val="en-US" w:eastAsia="zh-CN"/>
              </w:rPr>
            </w:pPr>
          </w:p>
          <w:p w14:paraId="46C30910">
            <w:pPr>
              <w:pStyle w:val="13"/>
              <w:numPr>
                <w:ilvl w:val="0"/>
                <w:numId w:val="0"/>
              </w:numPr>
              <w:spacing w:before="100" w:beforeAutospacing="1" w:line="360" w:lineRule="auto"/>
              <w:ind w:left="500" w:leftChars="0" w:firstLine="0" w:firstLineChars="0"/>
              <w:rPr>
                <w:rFonts w:hint="eastAsia" w:ascii="宋体" w:hAnsi="宋体" w:eastAsia="宋体" w:cs="宋体"/>
                <w:b/>
                <w:sz w:val="20"/>
                <w:lang w:val="zh-CN" w:eastAsia="zh-CN"/>
              </w:rPr>
            </w:pPr>
          </w:p>
          <w:p w14:paraId="0C7AA2FB">
            <w:pPr>
              <w:pStyle w:val="13"/>
              <w:numPr>
                <w:ilvl w:val="0"/>
                <w:numId w:val="0"/>
              </w:numPr>
              <w:spacing w:before="100" w:beforeAutospacing="1" w:line="360" w:lineRule="auto"/>
              <w:ind w:left="500" w:leftChars="0" w:firstLine="0" w:firstLineChars="0"/>
              <w:rPr>
                <w:rFonts w:hint="eastAsia" w:ascii="宋体" w:hAnsi="宋体" w:eastAsia="宋体" w:cs="宋体"/>
                <w:sz w:val="20"/>
              </w:rPr>
            </w:pPr>
            <w:r>
              <w:rPr>
                <w:rFonts w:ascii="宋体" w:hAnsi="宋体" w:eastAsia="宋体" w:cs="宋体"/>
                <w:sz w:val="20"/>
              </w:rPr>
              <w:t xml:space="preserve">    </w:t>
            </w:r>
          </w:p>
          <w:p w14:paraId="00E8757D">
            <w:pPr>
              <w:pStyle w:val="13"/>
              <w:numPr>
                <w:ilvl w:val="0"/>
                <w:numId w:val="0"/>
              </w:numPr>
              <w:spacing w:before="100" w:beforeAutospacing="1" w:line="360" w:lineRule="auto"/>
              <w:ind w:left="500" w:leftChars="0" w:firstLine="0" w:firstLineChars="0"/>
              <w:rPr>
                <w:rFonts w:ascii="宋体" w:hAnsi="宋体" w:eastAsia="宋体" w:cs="宋体"/>
                <w:sz w:val="20"/>
                <w:szCs w:val="20"/>
              </w:rPr>
            </w:pPr>
            <w:r>
              <w:rPr>
                <w:rFonts w:hint="eastAsia" w:ascii="宋体" w:hAnsi="宋体" w:eastAsia="宋体" w:cs="宋体"/>
                <w:b/>
                <w:sz w:val="20"/>
              </w:rPr>
              <w:br w:type="textWrapping"/>
            </w:r>
            <w:r>
              <w:rPr>
                <w:rFonts w:ascii="宋体" w:hAnsi="宋体" w:eastAsia="宋体" w:cs="宋体"/>
                <w:b/>
                <w:sz w:val="20"/>
              </w:rPr>
              <w:t xml:space="preserve">   </w:t>
            </w:r>
          </w:p>
        </w:tc>
      </w:tr>
      <w:tr w14:paraId="56421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477" w:type="dxa"/>
            <w:vAlign w:val="center"/>
          </w:tcPr>
          <w:p w14:paraId="01E64948">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6048" w:type="dxa"/>
            <w:vAlign w:val="center"/>
          </w:tcPr>
          <w:p w14:paraId="480770E5">
            <w:pPr>
              <w:pStyle w:val="13"/>
              <w:spacing w:before="100" w:beforeAutospacing="1" w:line="360" w:lineRule="auto"/>
              <w:rPr>
                <w:rFonts w:ascii="宋体" w:hAnsi="宋体" w:eastAsia="宋体" w:cs="宋体"/>
                <w:sz w:val="20"/>
                <w:szCs w:val="20"/>
              </w:rPr>
            </w:pPr>
            <w:r>
              <w:rPr>
                <w:rFonts w:hint="eastAsia" w:ascii="宋体" w:hAnsi="宋体" w:eastAsia="宋体" w:cs="宋体"/>
                <w:sz w:val="20"/>
                <w:szCs w:val="20"/>
              </w:rPr>
              <w:t>无</w:t>
            </w:r>
          </w:p>
        </w:tc>
      </w:tr>
      <w:tr w14:paraId="7F28C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77" w:type="dxa"/>
            <w:vAlign w:val="center"/>
          </w:tcPr>
          <w:p w14:paraId="596F256C">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6048" w:type="dxa"/>
            <w:vAlign w:val="center"/>
          </w:tcPr>
          <w:p w14:paraId="52A11A84">
            <w:pPr>
              <w:pStyle w:val="13"/>
              <w:spacing w:before="100" w:beforeAutospacing="1"/>
              <w:rPr>
                <w:rFonts w:hint="eastAsia" w:ascii="宋体" w:hAnsi="宋体" w:eastAsia="宋体" w:cs="宋体"/>
                <w:sz w:val="20"/>
                <w:szCs w:val="20"/>
                <w:lang w:eastAsia="zh-CN"/>
              </w:rPr>
            </w:pPr>
            <w:r>
              <w:rPr>
                <w:rFonts w:ascii="宋体" w:hAnsi="宋体" w:eastAsia="宋体" w:cs="宋体"/>
                <w:sz w:val="20"/>
                <w:szCs w:val="20"/>
              </w:rPr>
              <w:t>202</w:t>
            </w:r>
            <w:r>
              <w:rPr>
                <w:rFonts w:hint="default" w:ascii="宋体" w:hAnsi="宋体" w:eastAsia="宋体" w:cs="宋体"/>
                <w:sz w:val="20"/>
                <w:szCs w:val="20"/>
                <w:lang w:val="en-US"/>
              </w:rPr>
              <w:t>4</w:t>
            </w:r>
            <w:r>
              <w:rPr>
                <w:rFonts w:ascii="宋体" w:hAnsi="宋体" w:eastAsia="宋体" w:cs="宋体"/>
                <w:sz w:val="20"/>
                <w:szCs w:val="20"/>
              </w:rPr>
              <w:t>年</w:t>
            </w:r>
            <w:r>
              <w:rPr>
                <w:rFonts w:hint="default" w:ascii="宋体" w:hAnsi="宋体" w:eastAsia="宋体" w:cs="宋体"/>
                <w:sz w:val="20"/>
                <w:szCs w:val="20"/>
                <w:lang w:val="en-US"/>
              </w:rPr>
              <w:t>1</w:t>
            </w:r>
            <w:r>
              <w:rPr>
                <w:rFonts w:hint="eastAsia" w:ascii="宋体" w:hAnsi="宋体" w:eastAsia="宋体" w:cs="宋体"/>
                <w:sz w:val="20"/>
                <w:szCs w:val="20"/>
                <w:lang w:val="en-US" w:eastAsia="zh-CN"/>
              </w:rPr>
              <w:t>1</w:t>
            </w:r>
            <w:r>
              <w:rPr>
                <w:rFonts w:ascii="宋体" w:hAnsi="宋体" w:eastAsia="宋体" w:cs="宋体"/>
                <w:sz w:val="20"/>
                <w:szCs w:val="20"/>
              </w:rPr>
              <w:t>月</w:t>
            </w:r>
            <w:r>
              <w:rPr>
                <w:rFonts w:hint="eastAsia" w:ascii="宋体" w:hAnsi="宋体" w:eastAsia="宋体" w:cs="宋体"/>
                <w:sz w:val="20"/>
                <w:szCs w:val="20"/>
                <w:lang w:val="en-US" w:eastAsia="zh-CN"/>
              </w:rPr>
              <w:t>28</w:t>
            </w:r>
            <w:r>
              <w:rPr>
                <w:rFonts w:ascii="宋体" w:hAnsi="宋体" w:eastAsia="宋体" w:cs="宋体"/>
                <w:sz w:val="20"/>
                <w:szCs w:val="20"/>
              </w:rPr>
              <w:t>日</w:t>
            </w:r>
          </w:p>
        </w:tc>
      </w:tr>
    </w:tbl>
    <w:p w14:paraId="61C12929">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F42AA"/>
    <w:multiLevelType w:val="singleLevel"/>
    <w:tmpl w:val="858F42AA"/>
    <w:lvl w:ilvl="0" w:tentative="0">
      <w:start w:val="8"/>
      <w:numFmt w:val="decimal"/>
      <w:lvlText w:val="%1."/>
      <w:lvlJc w:val="left"/>
      <w:pPr>
        <w:tabs>
          <w:tab w:val="left" w:pos="312"/>
        </w:tabs>
      </w:pPr>
    </w:lvl>
  </w:abstractNum>
  <w:abstractNum w:abstractNumId="1">
    <w:nsid w:val="98CE0484"/>
    <w:multiLevelType w:val="singleLevel"/>
    <w:tmpl w:val="98CE0484"/>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YTIzNTAyZjI4OGFiYjcwMTRiNWNmODJlNDMwMmEifQ=="/>
  </w:docVars>
  <w:rsids>
    <w:rsidRoot w:val="00301D32"/>
    <w:rsid w:val="0001077F"/>
    <w:rsid w:val="000234FD"/>
    <w:rsid w:val="00026CC3"/>
    <w:rsid w:val="00036089"/>
    <w:rsid w:val="00053CFA"/>
    <w:rsid w:val="000633EC"/>
    <w:rsid w:val="00063804"/>
    <w:rsid w:val="000665A2"/>
    <w:rsid w:val="000877AB"/>
    <w:rsid w:val="000B7C08"/>
    <w:rsid w:val="000D12CF"/>
    <w:rsid w:val="000D2D88"/>
    <w:rsid w:val="000E4B20"/>
    <w:rsid w:val="0011418F"/>
    <w:rsid w:val="00172C24"/>
    <w:rsid w:val="001944F3"/>
    <w:rsid w:val="001E59D1"/>
    <w:rsid w:val="001E5EA4"/>
    <w:rsid w:val="002042A7"/>
    <w:rsid w:val="00205911"/>
    <w:rsid w:val="002146AD"/>
    <w:rsid w:val="002377FD"/>
    <w:rsid w:val="00275CB6"/>
    <w:rsid w:val="002800B5"/>
    <w:rsid w:val="00295B29"/>
    <w:rsid w:val="002D0174"/>
    <w:rsid w:val="002D4073"/>
    <w:rsid w:val="002E7098"/>
    <w:rsid w:val="00301D32"/>
    <w:rsid w:val="00366FAD"/>
    <w:rsid w:val="0037105B"/>
    <w:rsid w:val="003975BA"/>
    <w:rsid w:val="003A74E6"/>
    <w:rsid w:val="003B73DD"/>
    <w:rsid w:val="003D011C"/>
    <w:rsid w:val="003E6262"/>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35D23"/>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D156D"/>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0804"/>
    <w:rsid w:val="00CF5FB6"/>
    <w:rsid w:val="00D02518"/>
    <w:rsid w:val="00D17454"/>
    <w:rsid w:val="00D33FBC"/>
    <w:rsid w:val="00D54259"/>
    <w:rsid w:val="00D7535C"/>
    <w:rsid w:val="00D75729"/>
    <w:rsid w:val="00D76302"/>
    <w:rsid w:val="00DA5CE2"/>
    <w:rsid w:val="00DD2E72"/>
    <w:rsid w:val="00DE10E8"/>
    <w:rsid w:val="00E16FDA"/>
    <w:rsid w:val="00E35F58"/>
    <w:rsid w:val="00E45BD9"/>
    <w:rsid w:val="00E66FFC"/>
    <w:rsid w:val="00E759D6"/>
    <w:rsid w:val="00E84A8C"/>
    <w:rsid w:val="00E976DE"/>
    <w:rsid w:val="00EC0F83"/>
    <w:rsid w:val="00EE3187"/>
    <w:rsid w:val="00EF499B"/>
    <w:rsid w:val="00F14977"/>
    <w:rsid w:val="00FB4A08"/>
    <w:rsid w:val="00FB7ECC"/>
    <w:rsid w:val="00FC0C2A"/>
    <w:rsid w:val="00FD7F8E"/>
    <w:rsid w:val="00FF11E4"/>
    <w:rsid w:val="00FF5A3C"/>
    <w:rsid w:val="01953093"/>
    <w:rsid w:val="02EC2D0D"/>
    <w:rsid w:val="04B072D4"/>
    <w:rsid w:val="05F47789"/>
    <w:rsid w:val="05F575D4"/>
    <w:rsid w:val="06246DBC"/>
    <w:rsid w:val="064249C6"/>
    <w:rsid w:val="071275CE"/>
    <w:rsid w:val="08641132"/>
    <w:rsid w:val="089715E3"/>
    <w:rsid w:val="09186774"/>
    <w:rsid w:val="0945438F"/>
    <w:rsid w:val="09821559"/>
    <w:rsid w:val="0A71587A"/>
    <w:rsid w:val="0A81493A"/>
    <w:rsid w:val="0B792C38"/>
    <w:rsid w:val="0C28640C"/>
    <w:rsid w:val="0E90599A"/>
    <w:rsid w:val="0ED720CD"/>
    <w:rsid w:val="0F706808"/>
    <w:rsid w:val="12070CAE"/>
    <w:rsid w:val="13BA2040"/>
    <w:rsid w:val="145F688C"/>
    <w:rsid w:val="15DD2205"/>
    <w:rsid w:val="17072842"/>
    <w:rsid w:val="17A67110"/>
    <w:rsid w:val="182745FA"/>
    <w:rsid w:val="1864189B"/>
    <w:rsid w:val="18D73A7D"/>
    <w:rsid w:val="19557370"/>
    <w:rsid w:val="1BD06B6A"/>
    <w:rsid w:val="1CCA094A"/>
    <w:rsid w:val="1E8F4112"/>
    <w:rsid w:val="1F782BDE"/>
    <w:rsid w:val="201C494C"/>
    <w:rsid w:val="204A6A53"/>
    <w:rsid w:val="22F637CC"/>
    <w:rsid w:val="23317869"/>
    <w:rsid w:val="24C35FFD"/>
    <w:rsid w:val="24CE5040"/>
    <w:rsid w:val="25650CAE"/>
    <w:rsid w:val="26406598"/>
    <w:rsid w:val="28080056"/>
    <w:rsid w:val="28734C1A"/>
    <w:rsid w:val="28C72DDD"/>
    <w:rsid w:val="29EE0E64"/>
    <w:rsid w:val="2BC4020A"/>
    <w:rsid w:val="2D6C3502"/>
    <w:rsid w:val="2EF90F16"/>
    <w:rsid w:val="2F125C63"/>
    <w:rsid w:val="2F5C78CB"/>
    <w:rsid w:val="302C3D0A"/>
    <w:rsid w:val="3104598F"/>
    <w:rsid w:val="32BF5992"/>
    <w:rsid w:val="33DE31BB"/>
    <w:rsid w:val="35250753"/>
    <w:rsid w:val="35DF11B1"/>
    <w:rsid w:val="38740160"/>
    <w:rsid w:val="389C49C0"/>
    <w:rsid w:val="3931242B"/>
    <w:rsid w:val="39BC78F4"/>
    <w:rsid w:val="39D15F64"/>
    <w:rsid w:val="3B35486F"/>
    <w:rsid w:val="3C0F44A1"/>
    <w:rsid w:val="3D141288"/>
    <w:rsid w:val="3EF1250A"/>
    <w:rsid w:val="40567DB0"/>
    <w:rsid w:val="40FF5CD2"/>
    <w:rsid w:val="42DB40B0"/>
    <w:rsid w:val="4319077F"/>
    <w:rsid w:val="43B71B0A"/>
    <w:rsid w:val="44FA0589"/>
    <w:rsid w:val="45216F7A"/>
    <w:rsid w:val="45A663E3"/>
    <w:rsid w:val="469F09AF"/>
    <w:rsid w:val="47727F1E"/>
    <w:rsid w:val="47D604EF"/>
    <w:rsid w:val="4B756271"/>
    <w:rsid w:val="4BCD4356"/>
    <w:rsid w:val="4BE40D01"/>
    <w:rsid w:val="4C8E1CA8"/>
    <w:rsid w:val="4D6D36A4"/>
    <w:rsid w:val="4FE83DEA"/>
    <w:rsid w:val="510903EF"/>
    <w:rsid w:val="53F137F4"/>
    <w:rsid w:val="543A6906"/>
    <w:rsid w:val="550C56D6"/>
    <w:rsid w:val="551D2322"/>
    <w:rsid w:val="5567138D"/>
    <w:rsid w:val="56850CBB"/>
    <w:rsid w:val="59D8738A"/>
    <w:rsid w:val="5A666D76"/>
    <w:rsid w:val="5B2253C2"/>
    <w:rsid w:val="5B6F0606"/>
    <w:rsid w:val="5BD40D92"/>
    <w:rsid w:val="5C7D248A"/>
    <w:rsid w:val="5CF02E0F"/>
    <w:rsid w:val="5F7E1A2B"/>
    <w:rsid w:val="603269D2"/>
    <w:rsid w:val="61A52BCA"/>
    <w:rsid w:val="61AE032B"/>
    <w:rsid w:val="627E55B4"/>
    <w:rsid w:val="62AE40EB"/>
    <w:rsid w:val="67095496"/>
    <w:rsid w:val="677F29BD"/>
    <w:rsid w:val="67ED7463"/>
    <w:rsid w:val="681A546A"/>
    <w:rsid w:val="69CB37D4"/>
    <w:rsid w:val="6A0D5B9B"/>
    <w:rsid w:val="6A3B23B1"/>
    <w:rsid w:val="6A4D5B13"/>
    <w:rsid w:val="6AEA32DC"/>
    <w:rsid w:val="6B3C5DCA"/>
    <w:rsid w:val="6CC24AB5"/>
    <w:rsid w:val="6D9271B2"/>
    <w:rsid w:val="6F134790"/>
    <w:rsid w:val="6FE81F5F"/>
    <w:rsid w:val="711F55DE"/>
    <w:rsid w:val="72446028"/>
    <w:rsid w:val="73076EC0"/>
    <w:rsid w:val="74210CA6"/>
    <w:rsid w:val="746F4E76"/>
    <w:rsid w:val="74F0140F"/>
    <w:rsid w:val="788C25F5"/>
    <w:rsid w:val="79F72AA9"/>
    <w:rsid w:val="7A144529"/>
    <w:rsid w:val="7DA22646"/>
    <w:rsid w:val="7DD37FAE"/>
    <w:rsid w:val="7EAF6DC9"/>
    <w:rsid w:val="7EC5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customStyle="1" w:styleId="13">
    <w:name w:val="Table Paragraph"/>
    <w:basedOn w:val="1"/>
    <w:qFormat/>
    <w:uiPriority w:val="1"/>
  </w:style>
  <w:style w:type="character" w:customStyle="1" w:styleId="14">
    <w:name w:val="页眉 字符"/>
    <w:basedOn w:val="10"/>
    <w:link w:val="7"/>
    <w:qFormat/>
    <w:uiPriority w:val="0"/>
    <w:rPr>
      <w:rFonts w:ascii="仿宋" w:hAnsi="仿宋" w:eastAsia="仿宋" w:cs="仿宋"/>
      <w:sz w:val="18"/>
      <w:szCs w:val="18"/>
      <w:lang w:val="zh-CN" w:bidi="zh-CN"/>
    </w:rPr>
  </w:style>
  <w:style w:type="character" w:customStyle="1" w:styleId="15">
    <w:name w:val="页脚 字符"/>
    <w:basedOn w:val="10"/>
    <w:link w:val="6"/>
    <w:qFormat/>
    <w:uiPriority w:val="0"/>
    <w:rPr>
      <w:rFonts w:ascii="仿宋" w:hAnsi="仿宋" w:eastAsia="仿宋" w:cs="仿宋"/>
      <w:sz w:val="18"/>
      <w:szCs w:val="18"/>
      <w:lang w:val="zh-CN" w:bidi="zh-CN"/>
    </w:rPr>
  </w:style>
  <w:style w:type="character" w:customStyle="1" w:styleId="16">
    <w:name w:val="批注文字 字符"/>
    <w:basedOn w:val="10"/>
    <w:link w:val="3"/>
    <w:qFormat/>
    <w:uiPriority w:val="0"/>
    <w:rPr>
      <w:rFonts w:ascii="仿宋" w:hAnsi="仿宋" w:eastAsia="仿宋" w:cs="仿宋"/>
      <w:sz w:val="22"/>
      <w:szCs w:val="22"/>
      <w:lang w:val="zh-CN" w:bidi="zh-CN"/>
    </w:rPr>
  </w:style>
  <w:style w:type="character" w:customStyle="1" w:styleId="17">
    <w:name w:val="批注主题 字符"/>
    <w:basedOn w:val="16"/>
    <w:link w:val="8"/>
    <w:qFormat/>
    <w:uiPriority w:val="0"/>
    <w:rPr>
      <w:rFonts w:ascii="仿宋" w:hAnsi="仿宋" w:eastAsia="仿宋" w:cs="仿宋"/>
      <w:b/>
      <w:bCs/>
      <w:sz w:val="22"/>
      <w:szCs w:val="22"/>
      <w:lang w:val="zh-CN" w:bidi="zh-CN"/>
    </w:rPr>
  </w:style>
  <w:style w:type="character" w:customStyle="1" w:styleId="18">
    <w:name w:val="批注框文本 字符"/>
    <w:basedOn w:val="10"/>
    <w:link w:val="5"/>
    <w:qFormat/>
    <w:uiPriority w:val="0"/>
    <w:rPr>
      <w:rFonts w:ascii="仿宋" w:hAnsi="仿宋" w:eastAsia="仿宋" w:cs="仿宋"/>
      <w:sz w:val="18"/>
      <w:szCs w:val="18"/>
      <w:lang w:val="zh-CN" w:bidi="zh-CN"/>
    </w:rPr>
  </w:style>
  <w:style w:type="character" w:customStyle="1" w:styleId="19">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2904</Words>
  <Characters>2983</Characters>
  <Lines>18</Lines>
  <Paragraphs>5</Paragraphs>
  <TotalTime>2</TotalTime>
  <ScaleCrop>false</ScaleCrop>
  <LinksUpToDate>false</LinksUpToDate>
  <CharactersWithSpaces>3098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chenchen</cp:lastModifiedBy>
  <dcterms:modified xsi:type="dcterms:W3CDTF">2024-11-28T09:37:08Z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9B46A10F3C9D4656B8F041F6AB24B92F_13</vt:lpwstr>
  </property>
</Properties>
</file>