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371B7">
      <w:pPr>
        <w:spacing w:line="360" w:lineRule="auto"/>
        <w:rPr>
          <w:rFonts w:ascii="宋体" w:hAnsi="宋体" w:cs="宋体"/>
        </w:rPr>
      </w:pPr>
      <w:r>
        <w:rPr>
          <w:rFonts w:hint="eastAsia" w:ascii="宋体" w:hAnsi="宋体" w:cs="宋体"/>
        </w:rPr>
        <w:t>证券代码：601777                                            证券简称：力帆科技</w:t>
      </w:r>
    </w:p>
    <w:p w14:paraId="4B900D47">
      <w:pPr>
        <w:jc w:val="center"/>
        <w:rPr>
          <w:rFonts w:ascii="黑体" w:hAnsi="黑体" w:eastAsia="黑体" w:cs="黑体"/>
          <w:b/>
          <w:iCs/>
          <w:color w:val="000000"/>
          <w:szCs w:val="21"/>
        </w:rPr>
      </w:pPr>
    </w:p>
    <w:p w14:paraId="5F506798">
      <w:pPr>
        <w:spacing w:line="360" w:lineRule="auto"/>
        <w:jc w:val="center"/>
        <w:rPr>
          <w:rFonts w:ascii="黑体" w:hAnsi="黑体" w:eastAsia="黑体" w:cs="黑体"/>
          <w:b/>
          <w:iCs/>
          <w:color w:val="000000"/>
          <w:sz w:val="36"/>
          <w:szCs w:val="36"/>
        </w:rPr>
      </w:pPr>
      <w:r>
        <w:rPr>
          <w:rFonts w:hint="eastAsia" w:ascii="黑体" w:hAnsi="黑体" w:eastAsia="黑体" w:cs="黑体"/>
          <w:b/>
          <w:iCs/>
          <w:color w:val="000000"/>
          <w:sz w:val="36"/>
          <w:szCs w:val="36"/>
        </w:rPr>
        <w:t>力帆科技（集团）股份有限公司</w:t>
      </w:r>
    </w:p>
    <w:p w14:paraId="768E6E8A">
      <w:pPr>
        <w:spacing w:line="360" w:lineRule="auto"/>
        <w:jc w:val="center"/>
        <w:rPr>
          <w:rFonts w:ascii="黑体" w:hAnsi="黑体" w:eastAsia="黑体" w:cs="黑体"/>
          <w:b/>
          <w:iCs/>
          <w:color w:val="000000"/>
          <w:sz w:val="36"/>
          <w:szCs w:val="36"/>
        </w:rPr>
      </w:pPr>
      <w:r>
        <w:rPr>
          <w:rFonts w:hint="eastAsia" w:ascii="黑体" w:hAnsi="黑体" w:eastAsia="黑体" w:cs="黑体"/>
          <w:b/>
          <w:iCs/>
          <w:color w:val="000000"/>
          <w:sz w:val="36"/>
          <w:szCs w:val="36"/>
        </w:rPr>
        <w:t>投资者关系活动记录表</w:t>
      </w:r>
    </w:p>
    <w:p w14:paraId="7B6CA310">
      <w:pPr>
        <w:spacing w:line="360" w:lineRule="auto"/>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rPr>
        <w:t xml:space="preserve">                                                  编号：202</w:t>
      </w:r>
      <w:r>
        <w:rPr>
          <w:rFonts w:hint="eastAsia" w:ascii="宋体" w:hAnsi="宋体" w:cs="宋体"/>
          <w:bCs/>
          <w:iCs/>
          <w:color w:val="000000"/>
          <w:sz w:val="24"/>
          <w:szCs w:val="24"/>
          <w:lang w:val="en-US" w:eastAsia="zh-CN"/>
        </w:rPr>
        <w:t>4</w:t>
      </w:r>
      <w:r>
        <w:rPr>
          <w:rFonts w:hint="eastAsia" w:ascii="宋体" w:hAnsi="宋体" w:cs="宋体"/>
          <w:bCs/>
          <w:iCs/>
          <w:color w:val="000000"/>
          <w:sz w:val="24"/>
          <w:szCs w:val="24"/>
        </w:rPr>
        <w:t>-</w:t>
      </w:r>
      <w:r>
        <w:rPr>
          <w:rFonts w:hint="eastAsia" w:ascii="宋体" w:hAnsi="宋体" w:cs="宋体"/>
          <w:bCs/>
          <w:iCs/>
          <w:color w:val="000000"/>
          <w:sz w:val="24"/>
          <w:szCs w:val="24"/>
          <w:lang w:val="en-US" w:eastAsia="zh-CN"/>
        </w:rPr>
        <w:t>11</w:t>
      </w:r>
      <w:r>
        <w:rPr>
          <w:rFonts w:hint="eastAsia" w:ascii="宋体" w:hAnsi="宋体" w:cs="宋体"/>
          <w:bCs/>
          <w:iCs/>
          <w:color w:val="000000"/>
          <w:sz w:val="24"/>
          <w:szCs w:val="24"/>
        </w:rPr>
        <w:t>-</w:t>
      </w:r>
      <w:r>
        <w:rPr>
          <w:rFonts w:hint="eastAsia" w:ascii="宋体" w:hAnsi="宋体" w:cs="宋体"/>
          <w:bCs/>
          <w:iCs/>
          <w:color w:val="000000"/>
          <w:sz w:val="24"/>
          <w:szCs w:val="24"/>
          <w:lang w:val="en-US" w:eastAsia="zh-CN"/>
        </w:rPr>
        <w:t>30</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0310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528A1A7">
            <w:pPr>
              <w:rPr>
                <w:rFonts w:ascii="宋体" w:hAnsi="宋体" w:cs="宋体"/>
                <w:bCs/>
                <w:iCs/>
                <w:color w:val="auto"/>
                <w:sz w:val="24"/>
                <w:szCs w:val="24"/>
                <w:highlight w:val="none"/>
              </w:rPr>
            </w:pPr>
            <w:r>
              <w:rPr>
                <w:rFonts w:hint="eastAsia" w:ascii="宋体" w:hAnsi="宋体" w:cs="宋体"/>
                <w:bCs/>
                <w:iCs/>
                <w:color w:val="auto"/>
                <w:sz w:val="24"/>
                <w:szCs w:val="24"/>
                <w:highlight w:val="none"/>
              </w:rPr>
              <w:t>投资者关系活动类别</w:t>
            </w:r>
          </w:p>
        </w:tc>
        <w:tc>
          <w:tcPr>
            <w:tcW w:w="6614" w:type="dxa"/>
            <w:tcBorders>
              <w:top w:val="single" w:color="auto" w:sz="4" w:space="0"/>
              <w:left w:val="single" w:color="auto" w:sz="4" w:space="0"/>
              <w:bottom w:val="single" w:color="auto" w:sz="4" w:space="0"/>
              <w:right w:val="single" w:color="auto" w:sz="4" w:space="0"/>
            </w:tcBorders>
          </w:tcPr>
          <w:p w14:paraId="560F5C7B">
            <w:pPr>
              <w:rPr>
                <w:rFonts w:ascii="宋体" w:cs="宋体"/>
                <w:bCs/>
                <w:iCs/>
                <w:color w:val="auto"/>
                <w:kern w:val="0"/>
                <w:sz w:val="24"/>
                <w:highlight w:val="none"/>
              </w:rPr>
            </w:pPr>
            <w:r>
              <w:rPr>
                <w:rFonts w:hint="eastAsia" w:ascii="宋体" w:hAnsi="宋体" w:cs="宋体"/>
                <w:bCs/>
                <w:iCs/>
                <w:color w:val="auto"/>
                <w:kern w:val="0"/>
                <w:sz w:val="24"/>
                <w:highlight w:val="none"/>
              </w:rPr>
              <w:sym w:font="Wingdings 2" w:char="0052"/>
            </w:r>
            <w:r>
              <w:rPr>
                <w:rFonts w:hint="eastAsia" w:ascii="宋体" w:hAnsi="宋体" w:cs="宋体"/>
                <w:bCs/>
                <w:iCs/>
                <w:color w:val="auto"/>
                <w:kern w:val="0"/>
                <w:sz w:val="24"/>
                <w:highlight w:val="none"/>
              </w:rPr>
              <w:t>特定对象调研    □分析师会议</w:t>
            </w:r>
          </w:p>
          <w:p w14:paraId="0E6E9D0D">
            <w:pPr>
              <w:rPr>
                <w:rFonts w:ascii="宋体" w:cs="宋体"/>
                <w:bCs/>
                <w:iCs/>
                <w:color w:val="auto"/>
                <w:kern w:val="0"/>
                <w:sz w:val="24"/>
                <w:highlight w:val="none"/>
              </w:rPr>
            </w:pPr>
            <w:r>
              <w:rPr>
                <w:rFonts w:hint="eastAsia" w:ascii="宋体" w:hAnsi="宋体" w:cs="宋体"/>
                <w:bCs/>
                <w:iCs/>
                <w:color w:val="auto"/>
                <w:kern w:val="0"/>
                <w:sz w:val="24"/>
                <w:highlight w:val="none"/>
              </w:rPr>
              <w:t>□媒体采访        □业绩说明会</w:t>
            </w:r>
          </w:p>
          <w:p w14:paraId="4E965939">
            <w:pPr>
              <w:rPr>
                <w:rFonts w:ascii="宋体" w:cs="宋体"/>
                <w:bCs/>
                <w:iCs/>
                <w:color w:val="auto"/>
                <w:kern w:val="0"/>
                <w:sz w:val="24"/>
                <w:highlight w:val="none"/>
              </w:rPr>
            </w:pPr>
            <w:r>
              <w:rPr>
                <w:rFonts w:hint="eastAsia" w:ascii="宋体" w:hAnsi="宋体" w:cs="宋体"/>
                <w:bCs/>
                <w:iCs/>
                <w:color w:val="auto"/>
                <w:kern w:val="0"/>
                <w:sz w:val="24"/>
                <w:highlight w:val="none"/>
              </w:rPr>
              <w:t>□新闻发布会      □路演活动</w:t>
            </w:r>
          </w:p>
          <w:p w14:paraId="6718041D">
            <w:pPr>
              <w:tabs>
                <w:tab w:val="left" w:pos="3045"/>
                <w:tab w:val="center" w:pos="3199"/>
              </w:tabs>
              <w:rPr>
                <w:rFonts w:ascii="宋体" w:cs="宋体"/>
                <w:bCs/>
                <w:iCs/>
                <w:color w:val="auto"/>
                <w:kern w:val="0"/>
                <w:sz w:val="24"/>
                <w:highlight w:val="none"/>
              </w:rPr>
            </w:pPr>
            <w:r>
              <w:rPr>
                <w:rFonts w:hint="eastAsia" w:ascii="宋体" w:hAnsi="宋体" w:cs="宋体"/>
                <w:bCs/>
                <w:iCs/>
                <w:color w:val="auto"/>
                <w:kern w:val="0"/>
                <w:sz w:val="24"/>
                <w:highlight w:val="none"/>
              </w:rPr>
              <w:t>□现场参观</w:t>
            </w:r>
            <w:r>
              <w:rPr>
                <w:rFonts w:ascii="宋体" w:cs="宋体"/>
                <w:bCs/>
                <w:iCs/>
                <w:color w:val="auto"/>
                <w:kern w:val="0"/>
                <w:sz w:val="24"/>
                <w:highlight w:val="none"/>
              </w:rPr>
              <w:tab/>
            </w:r>
          </w:p>
          <w:p w14:paraId="5CE8FBC7">
            <w:pPr>
              <w:tabs>
                <w:tab w:val="center" w:pos="3199"/>
              </w:tabs>
              <w:rPr>
                <w:rFonts w:ascii="宋体" w:hAnsi="宋体" w:cs="宋体"/>
                <w:bCs/>
                <w:iCs/>
                <w:color w:val="auto"/>
                <w:sz w:val="24"/>
                <w:szCs w:val="24"/>
                <w:highlight w:val="none"/>
              </w:rPr>
            </w:pPr>
            <w:r>
              <w:rPr>
                <w:rFonts w:hint="eastAsia" w:ascii="宋体" w:hAnsi="宋体" w:cs="宋体"/>
                <w:bCs/>
                <w:iCs/>
                <w:color w:val="auto"/>
                <w:kern w:val="0"/>
                <w:sz w:val="24"/>
                <w:highlight w:val="none"/>
              </w:rPr>
              <w:t>□其他（电话会议）</w:t>
            </w:r>
          </w:p>
        </w:tc>
      </w:tr>
      <w:tr w14:paraId="59A1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908" w:type="dxa"/>
            <w:tcBorders>
              <w:top w:val="single" w:color="auto" w:sz="4" w:space="0"/>
              <w:left w:val="single" w:color="auto" w:sz="4" w:space="0"/>
              <w:bottom w:val="single" w:color="auto" w:sz="4" w:space="0"/>
              <w:right w:val="single" w:color="auto" w:sz="4" w:space="0"/>
            </w:tcBorders>
            <w:vAlign w:val="center"/>
          </w:tcPr>
          <w:p w14:paraId="18BE5773">
            <w:pPr>
              <w:rPr>
                <w:rFonts w:ascii="宋体" w:hAnsi="宋体" w:cs="宋体"/>
                <w:bCs/>
                <w:iCs/>
                <w:color w:val="auto"/>
                <w:sz w:val="24"/>
                <w:szCs w:val="24"/>
                <w:highlight w:val="none"/>
              </w:rPr>
            </w:pPr>
            <w:r>
              <w:rPr>
                <w:rFonts w:hint="eastAsia" w:ascii="宋体" w:hAnsi="宋体" w:cs="宋体"/>
                <w:bCs/>
                <w:iCs/>
                <w:color w:val="auto"/>
                <w:sz w:val="24"/>
                <w:szCs w:val="24"/>
                <w:highlight w:val="none"/>
              </w:rPr>
              <w:t>接待对象单位名称及人员姓名</w:t>
            </w:r>
          </w:p>
        </w:tc>
        <w:tc>
          <w:tcPr>
            <w:tcW w:w="6614" w:type="dxa"/>
            <w:tcBorders>
              <w:top w:val="single" w:color="auto" w:sz="4" w:space="0"/>
              <w:left w:val="single" w:color="auto" w:sz="4" w:space="0"/>
              <w:bottom w:val="single" w:color="auto" w:sz="4" w:space="0"/>
              <w:right w:val="single" w:color="auto" w:sz="4" w:space="0"/>
            </w:tcBorders>
            <w:vAlign w:val="center"/>
          </w:tcPr>
          <w:p w14:paraId="490BDB61">
            <w:pPr>
              <w:widowControl/>
              <w:jc w:val="left"/>
              <w:rPr>
                <w:rFonts w:hint="eastAsia" w:ascii="宋体" w:hAnsi="宋体" w:eastAsia="宋体" w:cs="宋体"/>
                <w:bCs/>
                <w:iCs/>
                <w:color w:val="auto"/>
                <w:sz w:val="24"/>
                <w:szCs w:val="24"/>
                <w:highlight w:val="none"/>
                <w:lang w:val="en-US" w:eastAsia="zh-CN"/>
              </w:rPr>
            </w:pPr>
            <w:r>
              <w:rPr>
                <w:rFonts w:hint="eastAsia" w:ascii="宋体" w:hAnsi="宋体" w:cs="宋体"/>
                <w:bCs/>
                <w:iCs/>
                <w:color w:val="auto"/>
                <w:sz w:val="24"/>
                <w:szCs w:val="24"/>
                <w:highlight w:val="none"/>
                <w:lang w:val="en-US" w:eastAsia="zh-CN"/>
              </w:rPr>
              <w:t>国盛</w:t>
            </w:r>
            <w:r>
              <w:rPr>
                <w:rFonts w:hint="eastAsia" w:ascii="宋体" w:hAnsi="宋体" w:cs="宋体"/>
                <w:bCs/>
                <w:iCs/>
                <w:color w:val="auto"/>
                <w:sz w:val="24"/>
                <w:szCs w:val="24"/>
                <w:highlight w:val="none"/>
              </w:rPr>
              <w:t>证券</w:t>
            </w:r>
            <w:r>
              <w:rPr>
                <w:rFonts w:hint="eastAsia" w:ascii="宋体" w:hAnsi="宋体" w:cs="宋体"/>
                <w:bCs/>
                <w:iCs/>
                <w:color w:val="auto"/>
                <w:sz w:val="24"/>
                <w:szCs w:val="24"/>
                <w:highlight w:val="none"/>
                <w:lang w:eastAsia="zh-CN"/>
              </w:rPr>
              <w:t>、</w:t>
            </w:r>
            <w:r>
              <w:rPr>
                <w:rFonts w:hint="eastAsia" w:ascii="宋体" w:hAnsi="宋体" w:cs="宋体"/>
                <w:bCs/>
                <w:iCs/>
                <w:color w:val="auto"/>
                <w:sz w:val="24"/>
                <w:szCs w:val="24"/>
                <w:highlight w:val="none"/>
                <w:lang w:val="en-US" w:eastAsia="zh-CN"/>
              </w:rPr>
              <w:t>西南证券、民生证券、德邦证券、长信基金、众安保险、鹏华基金、华夏人寿保险、博时基金、易方达等</w:t>
            </w:r>
          </w:p>
        </w:tc>
      </w:tr>
      <w:tr w14:paraId="0F8C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908" w:type="dxa"/>
            <w:tcBorders>
              <w:top w:val="single" w:color="auto" w:sz="4" w:space="0"/>
              <w:left w:val="single" w:color="auto" w:sz="4" w:space="0"/>
              <w:bottom w:val="single" w:color="auto" w:sz="4" w:space="0"/>
              <w:right w:val="single" w:color="auto" w:sz="4" w:space="0"/>
            </w:tcBorders>
            <w:vAlign w:val="center"/>
          </w:tcPr>
          <w:p w14:paraId="653CB810">
            <w:pPr>
              <w:rPr>
                <w:rFonts w:ascii="宋体" w:hAnsi="宋体" w:cs="宋体"/>
                <w:bCs/>
                <w:iCs/>
                <w:color w:val="auto"/>
                <w:sz w:val="24"/>
                <w:szCs w:val="24"/>
                <w:highlight w:val="none"/>
              </w:rPr>
            </w:pPr>
            <w:r>
              <w:rPr>
                <w:rFonts w:hint="eastAsia" w:ascii="宋体" w:hAnsi="宋体" w:cs="宋体"/>
                <w:bCs/>
                <w:iCs/>
                <w:color w:val="auto"/>
                <w:sz w:val="24"/>
                <w:szCs w:val="24"/>
                <w:highlight w:val="none"/>
              </w:rPr>
              <w:t>公司接待人员</w:t>
            </w:r>
          </w:p>
        </w:tc>
        <w:tc>
          <w:tcPr>
            <w:tcW w:w="6614" w:type="dxa"/>
            <w:tcBorders>
              <w:top w:val="single" w:color="auto" w:sz="4" w:space="0"/>
              <w:left w:val="single" w:color="auto" w:sz="4" w:space="0"/>
              <w:bottom w:val="single" w:color="auto" w:sz="4" w:space="0"/>
              <w:right w:val="single" w:color="auto" w:sz="4" w:space="0"/>
            </w:tcBorders>
            <w:vAlign w:val="center"/>
          </w:tcPr>
          <w:p w14:paraId="05D4416C">
            <w:pPr>
              <w:rPr>
                <w:rFonts w:ascii="宋体" w:hAnsi="宋体" w:cs="宋体"/>
                <w:bCs/>
                <w:iCs/>
                <w:color w:val="auto"/>
                <w:sz w:val="24"/>
                <w:szCs w:val="24"/>
                <w:highlight w:val="none"/>
              </w:rPr>
            </w:pPr>
            <w:r>
              <w:rPr>
                <w:rFonts w:hint="eastAsia" w:ascii="宋体" w:hAnsi="宋体" w:cs="宋体"/>
                <w:bCs/>
                <w:iCs/>
                <w:color w:val="auto"/>
                <w:sz w:val="24"/>
                <w:szCs w:val="24"/>
                <w:highlight w:val="none"/>
              </w:rPr>
              <w:t>董事会秘书</w:t>
            </w:r>
          </w:p>
        </w:tc>
      </w:tr>
      <w:tr w14:paraId="64EC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908" w:type="dxa"/>
            <w:tcBorders>
              <w:top w:val="single" w:color="auto" w:sz="4" w:space="0"/>
              <w:left w:val="single" w:color="auto" w:sz="4" w:space="0"/>
              <w:bottom w:val="single" w:color="auto" w:sz="4" w:space="0"/>
              <w:right w:val="single" w:color="auto" w:sz="4" w:space="0"/>
            </w:tcBorders>
            <w:vAlign w:val="center"/>
          </w:tcPr>
          <w:p w14:paraId="34E4085B">
            <w:pPr>
              <w:rPr>
                <w:rFonts w:ascii="宋体" w:hAnsi="宋体" w:cs="宋体"/>
                <w:bCs/>
                <w:iCs/>
                <w:color w:val="auto"/>
                <w:sz w:val="24"/>
                <w:szCs w:val="24"/>
                <w:highlight w:val="none"/>
              </w:rPr>
            </w:pPr>
            <w:r>
              <w:rPr>
                <w:rFonts w:hint="eastAsia" w:ascii="宋体" w:hAnsi="宋体" w:cs="宋体"/>
                <w:bCs/>
                <w:iCs/>
                <w:color w:val="auto"/>
                <w:sz w:val="24"/>
                <w:szCs w:val="24"/>
                <w:highlight w:val="none"/>
              </w:rPr>
              <w:t>时间</w:t>
            </w:r>
          </w:p>
        </w:tc>
        <w:tc>
          <w:tcPr>
            <w:tcW w:w="6614" w:type="dxa"/>
            <w:tcBorders>
              <w:top w:val="single" w:color="auto" w:sz="4" w:space="0"/>
              <w:left w:val="single" w:color="auto" w:sz="4" w:space="0"/>
              <w:bottom w:val="single" w:color="auto" w:sz="4" w:space="0"/>
              <w:right w:val="single" w:color="auto" w:sz="4" w:space="0"/>
            </w:tcBorders>
            <w:vAlign w:val="center"/>
          </w:tcPr>
          <w:p w14:paraId="585D2C87">
            <w:pPr>
              <w:rPr>
                <w:rFonts w:ascii="宋体" w:hAnsi="宋体" w:cs="宋体"/>
                <w:bCs/>
                <w:iCs/>
                <w:color w:val="auto"/>
                <w:sz w:val="24"/>
                <w:szCs w:val="24"/>
                <w:highlight w:val="none"/>
              </w:rPr>
            </w:pPr>
            <w:r>
              <w:rPr>
                <w:rFonts w:hint="eastAsia" w:ascii="宋体" w:hAnsi="宋体" w:cs="宋体"/>
                <w:bCs/>
                <w:iCs/>
                <w:color w:val="auto"/>
                <w:sz w:val="24"/>
                <w:szCs w:val="24"/>
                <w:highlight w:val="none"/>
              </w:rPr>
              <w:t>202</w:t>
            </w:r>
            <w:r>
              <w:rPr>
                <w:rFonts w:hint="eastAsia" w:ascii="宋体" w:hAnsi="宋体" w:cs="宋体"/>
                <w:bCs/>
                <w:iCs/>
                <w:color w:val="auto"/>
                <w:sz w:val="24"/>
                <w:szCs w:val="24"/>
                <w:highlight w:val="none"/>
                <w:lang w:val="en-US" w:eastAsia="zh-CN"/>
              </w:rPr>
              <w:t>4</w:t>
            </w:r>
            <w:r>
              <w:rPr>
                <w:rFonts w:hint="eastAsia" w:ascii="宋体" w:hAnsi="宋体" w:cs="宋体"/>
                <w:bCs/>
                <w:iCs/>
                <w:color w:val="auto"/>
                <w:sz w:val="24"/>
                <w:szCs w:val="24"/>
                <w:highlight w:val="none"/>
              </w:rPr>
              <w:t>年</w:t>
            </w:r>
            <w:r>
              <w:rPr>
                <w:rFonts w:hint="eastAsia" w:ascii="宋体" w:hAnsi="宋体" w:cs="宋体"/>
                <w:bCs/>
                <w:iCs/>
                <w:color w:val="auto"/>
                <w:sz w:val="24"/>
                <w:szCs w:val="24"/>
                <w:highlight w:val="none"/>
                <w:lang w:val="en-US" w:eastAsia="zh-CN"/>
              </w:rPr>
              <w:t>11</w:t>
            </w:r>
            <w:r>
              <w:rPr>
                <w:rFonts w:hint="eastAsia" w:ascii="宋体" w:hAnsi="宋体" w:cs="宋体"/>
                <w:bCs/>
                <w:iCs/>
                <w:color w:val="auto"/>
                <w:sz w:val="24"/>
                <w:szCs w:val="24"/>
                <w:highlight w:val="none"/>
              </w:rPr>
              <w:t>月</w:t>
            </w:r>
          </w:p>
        </w:tc>
      </w:tr>
      <w:tr w14:paraId="2FD8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08" w:type="dxa"/>
            <w:tcBorders>
              <w:top w:val="single" w:color="auto" w:sz="4" w:space="0"/>
              <w:left w:val="single" w:color="auto" w:sz="4" w:space="0"/>
              <w:bottom w:val="single" w:color="auto" w:sz="4" w:space="0"/>
              <w:right w:val="single" w:color="auto" w:sz="4" w:space="0"/>
            </w:tcBorders>
            <w:vAlign w:val="center"/>
          </w:tcPr>
          <w:p w14:paraId="0DF13DA2">
            <w:pPr>
              <w:rPr>
                <w:rFonts w:ascii="宋体" w:hAnsi="宋体" w:cs="宋体"/>
                <w:bCs/>
                <w:iCs/>
                <w:color w:val="auto"/>
                <w:sz w:val="24"/>
                <w:szCs w:val="24"/>
                <w:highlight w:val="none"/>
              </w:rPr>
            </w:pPr>
            <w:r>
              <w:rPr>
                <w:rFonts w:hint="eastAsia" w:ascii="宋体" w:hAnsi="宋体" w:cs="宋体"/>
                <w:bCs/>
                <w:iCs/>
                <w:color w:val="auto"/>
                <w:sz w:val="24"/>
                <w:szCs w:val="24"/>
                <w:highlight w:val="none"/>
              </w:rPr>
              <w:t>地点</w:t>
            </w:r>
          </w:p>
        </w:tc>
        <w:tc>
          <w:tcPr>
            <w:tcW w:w="6614" w:type="dxa"/>
            <w:tcBorders>
              <w:top w:val="single" w:color="auto" w:sz="4" w:space="0"/>
              <w:left w:val="single" w:color="auto" w:sz="4" w:space="0"/>
              <w:bottom w:val="single" w:color="auto" w:sz="4" w:space="0"/>
              <w:right w:val="single" w:color="auto" w:sz="4" w:space="0"/>
            </w:tcBorders>
            <w:vAlign w:val="center"/>
          </w:tcPr>
          <w:p w14:paraId="4E6769B3">
            <w:pPr>
              <w:rPr>
                <w:rFonts w:ascii="宋体" w:hAnsi="宋体" w:cs="宋体"/>
                <w:bCs/>
                <w:iCs/>
                <w:color w:val="auto"/>
                <w:sz w:val="24"/>
                <w:szCs w:val="24"/>
                <w:highlight w:val="none"/>
              </w:rPr>
            </w:pPr>
            <w:r>
              <w:rPr>
                <w:rFonts w:hint="eastAsia" w:ascii="宋体" w:hAnsi="宋体" w:cs="宋体"/>
                <w:bCs/>
                <w:iCs/>
                <w:color w:val="auto"/>
                <w:sz w:val="24"/>
                <w:szCs w:val="24"/>
                <w:highlight w:val="none"/>
              </w:rPr>
              <w:t>力帆科技（集团）股份有限公司11楼会议室</w:t>
            </w:r>
          </w:p>
        </w:tc>
      </w:tr>
      <w:tr w14:paraId="1240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908" w:type="dxa"/>
            <w:tcBorders>
              <w:top w:val="single" w:color="auto" w:sz="4" w:space="0"/>
              <w:left w:val="single" w:color="auto" w:sz="4" w:space="0"/>
              <w:bottom w:val="single" w:color="auto" w:sz="4" w:space="0"/>
              <w:right w:val="single" w:color="auto" w:sz="4" w:space="0"/>
            </w:tcBorders>
            <w:vAlign w:val="center"/>
          </w:tcPr>
          <w:p w14:paraId="04ED144F">
            <w:pPr>
              <w:rPr>
                <w:rFonts w:ascii="宋体" w:hAnsi="宋体" w:cs="宋体"/>
                <w:bCs/>
                <w:iCs/>
                <w:color w:val="auto"/>
                <w:sz w:val="24"/>
                <w:szCs w:val="24"/>
                <w:highlight w:val="none"/>
              </w:rPr>
            </w:pPr>
            <w:r>
              <w:rPr>
                <w:color w:val="auto"/>
                <w:sz w:val="24"/>
                <w:highlight w:val="none"/>
              </w:rPr>
              <w:t>交流内容及具体问答记录</w:t>
            </w:r>
          </w:p>
        </w:tc>
        <w:tc>
          <w:tcPr>
            <w:tcW w:w="6614" w:type="dxa"/>
            <w:tcBorders>
              <w:top w:val="single" w:color="auto" w:sz="4" w:space="0"/>
              <w:left w:val="single" w:color="auto" w:sz="4" w:space="0"/>
              <w:bottom w:val="single" w:color="auto" w:sz="4" w:space="0"/>
              <w:right w:val="single" w:color="auto" w:sz="4" w:space="0"/>
            </w:tcBorders>
            <w:vAlign w:val="center"/>
          </w:tcPr>
          <w:p w14:paraId="1DA4383D">
            <w:pPr>
              <w:numPr>
                <w:ilvl w:val="0"/>
                <w:numId w:val="1"/>
              </w:numPr>
              <w:ind w:left="0" w:leftChars="0" w:firstLine="0" w:firstLineChars="0"/>
              <w:rPr>
                <w:rFonts w:hint="eastAsia" w:ascii="宋体" w:hAnsi="宋体" w:cs="宋体"/>
                <w:bCs/>
                <w:iCs/>
                <w:color w:val="auto"/>
                <w:sz w:val="24"/>
                <w:szCs w:val="24"/>
                <w:highlight w:val="none"/>
                <w:lang w:val="en-US" w:eastAsia="zh-CN"/>
              </w:rPr>
            </w:pPr>
            <w:r>
              <w:rPr>
                <w:rFonts w:hint="eastAsia" w:ascii="宋体" w:hAnsi="宋体" w:cs="宋体"/>
                <w:bCs/>
                <w:iCs/>
                <w:color w:val="auto"/>
                <w:sz w:val="24"/>
                <w:szCs w:val="24"/>
                <w:highlight w:val="none"/>
                <w:lang w:val="en-US" w:eastAsia="zh-CN"/>
              </w:rPr>
              <w:t>重庆睿蓝汽车科技有限公司与重庆睿蓝汽车制造有限公司有什么业务关系？</w:t>
            </w:r>
          </w:p>
          <w:p w14:paraId="51E5D67F">
            <w:pPr>
              <w:numPr>
                <w:ilvl w:val="0"/>
                <w:numId w:val="0"/>
              </w:numPr>
              <w:rPr>
                <w:rFonts w:hint="eastAsia" w:ascii="宋体" w:hAnsi="宋体" w:cs="宋体"/>
                <w:bCs/>
                <w:iCs/>
                <w:color w:val="auto"/>
                <w:sz w:val="24"/>
                <w:szCs w:val="24"/>
                <w:highlight w:val="none"/>
                <w:lang w:val="en-US" w:eastAsia="zh-CN"/>
              </w:rPr>
            </w:pPr>
            <w:r>
              <w:rPr>
                <w:rFonts w:hint="eastAsia" w:ascii="宋体" w:hAnsi="宋体" w:cs="宋体"/>
                <w:bCs/>
                <w:iCs/>
                <w:color w:val="auto"/>
                <w:sz w:val="24"/>
                <w:szCs w:val="24"/>
                <w:highlight w:val="none"/>
                <w:lang w:val="en-US" w:eastAsia="zh-CN"/>
              </w:rPr>
              <w:t>回复：睿蓝制造主要负责部分车型的生产制造，睿蓝科技主要负责汽车的研发、销售等相关业务。</w:t>
            </w:r>
          </w:p>
          <w:p w14:paraId="5A1C5491">
            <w:pPr>
              <w:numPr>
                <w:ilvl w:val="0"/>
                <w:numId w:val="0"/>
              </w:numPr>
              <w:rPr>
                <w:rFonts w:hint="default" w:ascii="宋体" w:hAnsi="宋体" w:cs="宋体"/>
                <w:bCs/>
                <w:iCs/>
                <w:color w:val="auto"/>
                <w:sz w:val="24"/>
                <w:szCs w:val="24"/>
                <w:highlight w:val="none"/>
                <w:lang w:val="en-US" w:eastAsia="zh-CN"/>
              </w:rPr>
            </w:pPr>
          </w:p>
          <w:p w14:paraId="18B3AC13">
            <w:pPr>
              <w:numPr>
                <w:ilvl w:val="0"/>
                <w:numId w:val="1"/>
              </w:numPr>
              <w:ind w:left="0" w:leftChars="0" w:firstLine="0" w:firstLineChars="0"/>
              <w:rPr>
                <w:rFonts w:hint="eastAsia" w:ascii="宋体" w:hAnsi="宋体" w:cs="宋体"/>
                <w:bCs/>
                <w:iCs/>
                <w:color w:val="auto"/>
                <w:sz w:val="24"/>
                <w:szCs w:val="24"/>
                <w:highlight w:val="none"/>
                <w:lang w:val="en-US" w:eastAsia="zh-CN"/>
              </w:rPr>
            </w:pPr>
            <w:r>
              <w:rPr>
                <w:rFonts w:hint="eastAsia" w:ascii="宋体" w:hAnsi="宋体" w:cs="宋体"/>
                <w:bCs/>
                <w:iCs/>
                <w:color w:val="auto"/>
                <w:sz w:val="24"/>
                <w:szCs w:val="24"/>
                <w:highlight w:val="none"/>
                <w:lang w:val="en-US" w:eastAsia="zh-CN"/>
              </w:rPr>
              <w:t>请问睿蓝制造的产能利用率及后期规划？</w:t>
            </w:r>
          </w:p>
          <w:p w14:paraId="6B7671F8">
            <w:pPr>
              <w:numPr>
                <w:ilvl w:val="0"/>
                <w:numId w:val="0"/>
              </w:numPr>
              <w:rPr>
                <w:rFonts w:hint="eastAsia" w:ascii="宋体" w:hAnsi="宋体" w:cs="宋体"/>
                <w:bCs/>
                <w:iCs/>
                <w:color w:val="auto"/>
                <w:sz w:val="24"/>
                <w:szCs w:val="24"/>
                <w:highlight w:val="none"/>
                <w:lang w:val="en-US" w:eastAsia="zh-CN"/>
              </w:rPr>
            </w:pPr>
            <w:r>
              <w:rPr>
                <w:rFonts w:hint="eastAsia" w:ascii="宋体" w:hAnsi="宋体" w:cs="宋体"/>
                <w:bCs/>
                <w:iCs/>
                <w:color w:val="auto"/>
                <w:sz w:val="24"/>
                <w:szCs w:val="24"/>
                <w:highlight w:val="none"/>
                <w:lang w:val="en-US" w:eastAsia="zh-CN"/>
              </w:rPr>
              <w:t>回复：睿蓝制造目前产能利用率约为30%，公司正积极提升产能利用率，以满足公司燃油车和新能源多款车型兼容生产需求。</w:t>
            </w:r>
          </w:p>
          <w:p w14:paraId="61C23F67">
            <w:pPr>
              <w:numPr>
                <w:ilvl w:val="0"/>
                <w:numId w:val="0"/>
              </w:numPr>
              <w:rPr>
                <w:rFonts w:hint="eastAsia" w:ascii="宋体" w:hAnsi="宋体" w:cs="宋体"/>
                <w:bCs/>
                <w:iCs/>
                <w:color w:val="auto"/>
                <w:sz w:val="24"/>
                <w:szCs w:val="24"/>
                <w:highlight w:val="none"/>
                <w:lang w:val="en-US" w:eastAsia="zh-CN"/>
              </w:rPr>
            </w:pPr>
          </w:p>
          <w:p w14:paraId="34208AF3">
            <w:pPr>
              <w:numPr>
                <w:ilvl w:val="0"/>
                <w:numId w:val="1"/>
              </w:numPr>
              <w:ind w:left="0" w:leftChars="0" w:firstLine="0" w:firstLineChars="0"/>
              <w:rPr>
                <w:rFonts w:hint="eastAsia" w:ascii="宋体" w:hAnsi="宋体" w:cs="宋体"/>
                <w:bCs/>
                <w:iCs/>
                <w:color w:val="auto"/>
                <w:sz w:val="24"/>
                <w:szCs w:val="24"/>
                <w:highlight w:val="none"/>
                <w:lang w:val="en-US" w:eastAsia="zh-CN"/>
              </w:rPr>
            </w:pPr>
            <w:r>
              <w:rPr>
                <w:rFonts w:hint="eastAsia" w:ascii="宋体" w:hAnsi="宋体" w:cs="宋体"/>
                <w:bCs/>
                <w:iCs/>
                <w:color w:val="auto"/>
                <w:sz w:val="24"/>
                <w:szCs w:val="24"/>
                <w:highlight w:val="none"/>
                <w:lang w:val="en-US" w:eastAsia="zh-CN"/>
              </w:rPr>
              <w:t>请问公司股东股权调整完成后，实控人是否有变化？吉利方还有持股吗，和新进股东相比谁持股比例较大？</w:t>
            </w:r>
          </w:p>
          <w:p w14:paraId="714BE880">
            <w:pPr>
              <w:numPr>
                <w:ilvl w:val="0"/>
                <w:numId w:val="0"/>
              </w:numPr>
              <w:rPr>
                <w:rFonts w:hint="default" w:ascii="宋体" w:hAnsi="宋体" w:cs="宋体"/>
                <w:bCs/>
                <w:iCs/>
                <w:color w:val="auto"/>
                <w:sz w:val="24"/>
                <w:szCs w:val="24"/>
                <w:highlight w:val="none"/>
                <w:lang w:val="en-US" w:eastAsia="zh-CN"/>
              </w:rPr>
            </w:pPr>
            <w:r>
              <w:rPr>
                <w:rFonts w:hint="eastAsia" w:ascii="宋体" w:hAnsi="宋体" w:cs="宋体"/>
                <w:bCs/>
                <w:iCs/>
                <w:color w:val="auto"/>
                <w:sz w:val="24"/>
                <w:szCs w:val="24"/>
                <w:highlight w:val="none"/>
                <w:lang w:val="en-US" w:eastAsia="zh-CN"/>
              </w:rPr>
              <w:t>回复：公司股权变更完成后，控股股东和实际控制人未发生变化，浙江吉利产投控股有限公司通过重庆满江红私募股权投资基金合伙企业（有限合伙）间接持有公司15.21%股权，重庆江河顺遂企业管理有限公司通过重庆江河汇企业管理有限责任公司间接持有公司19.91%股权。详见公司于2024年7月3日在上海证券交易所网站（www.sse.com.cn）披露的《关于控股股东出资结构变动的提示性公告》（公告编号：临2024-043）和《关于持股5%以上股东间接转让公司股份暨权益变动的提示性公告》（公告编号：临2024-044）。</w:t>
            </w:r>
          </w:p>
          <w:p w14:paraId="0FFF3885">
            <w:pPr>
              <w:numPr>
                <w:ilvl w:val="0"/>
                <w:numId w:val="1"/>
              </w:numPr>
              <w:ind w:left="0" w:leftChars="0" w:firstLine="0" w:firstLineChars="0"/>
              <w:rPr>
                <w:rFonts w:hint="eastAsia" w:ascii="宋体" w:hAnsi="宋体" w:cs="宋体"/>
                <w:bCs/>
                <w:iCs/>
                <w:color w:val="auto"/>
                <w:sz w:val="24"/>
                <w:szCs w:val="24"/>
                <w:highlight w:val="none"/>
                <w:lang w:val="en-US" w:eastAsia="zh-CN"/>
              </w:rPr>
            </w:pPr>
            <w:bookmarkStart w:id="0" w:name="_GoBack"/>
            <w:bookmarkEnd w:id="0"/>
            <w:r>
              <w:rPr>
                <w:rFonts w:hint="eastAsia" w:ascii="宋体" w:hAnsi="宋体" w:cs="宋体"/>
                <w:bCs/>
                <w:iCs/>
                <w:color w:val="auto"/>
                <w:sz w:val="24"/>
                <w:szCs w:val="24"/>
                <w:highlight w:val="none"/>
                <w:lang w:val="en-US" w:eastAsia="zh-CN"/>
              </w:rPr>
              <w:t>公司董事会已调整完成，请问新董事长上任后能为力帆带来什么新变化？</w:t>
            </w:r>
          </w:p>
          <w:p w14:paraId="55E6C1B3">
            <w:pPr>
              <w:numPr>
                <w:ilvl w:val="0"/>
                <w:numId w:val="0"/>
              </w:numPr>
              <w:rPr>
                <w:rFonts w:hint="eastAsia" w:ascii="宋体" w:hAnsi="宋体" w:cs="宋体"/>
                <w:bCs/>
                <w:iCs/>
                <w:color w:val="auto"/>
                <w:sz w:val="24"/>
                <w:szCs w:val="24"/>
                <w:highlight w:val="none"/>
                <w:lang w:val="en-US" w:eastAsia="zh-CN"/>
              </w:rPr>
            </w:pPr>
            <w:r>
              <w:rPr>
                <w:rFonts w:hint="eastAsia" w:ascii="宋体" w:hAnsi="宋体" w:cs="宋体"/>
                <w:bCs/>
                <w:iCs/>
                <w:color w:val="auto"/>
                <w:sz w:val="24"/>
                <w:szCs w:val="24"/>
                <w:highlight w:val="none"/>
                <w:lang w:val="en-US" w:eastAsia="zh-CN"/>
              </w:rPr>
              <w:t>回复：新董事长将发挥其在人工智能领域长期积累的经验与优势，探索人工智能与汽车工业的融合，加速推动公司新能源汽车业务的发展。</w:t>
            </w:r>
          </w:p>
          <w:p w14:paraId="3FD89A03">
            <w:pPr>
              <w:numPr>
                <w:ilvl w:val="0"/>
                <w:numId w:val="0"/>
              </w:numPr>
              <w:rPr>
                <w:rFonts w:hint="eastAsia" w:ascii="宋体" w:hAnsi="宋体" w:cs="宋体"/>
                <w:bCs/>
                <w:iCs/>
                <w:color w:val="auto"/>
                <w:sz w:val="24"/>
                <w:szCs w:val="24"/>
                <w:highlight w:val="none"/>
                <w:lang w:val="en-US" w:eastAsia="zh-CN"/>
              </w:rPr>
            </w:pPr>
          </w:p>
          <w:p w14:paraId="6E3DB1B0">
            <w:pPr>
              <w:numPr>
                <w:ilvl w:val="0"/>
                <w:numId w:val="1"/>
              </w:numPr>
              <w:ind w:left="0" w:leftChars="0" w:firstLine="0" w:firstLineChars="0"/>
              <w:rPr>
                <w:rFonts w:hint="eastAsia" w:ascii="宋体" w:hAnsi="宋体" w:cs="宋体"/>
                <w:bCs/>
                <w:iCs/>
                <w:color w:val="auto"/>
                <w:sz w:val="24"/>
                <w:szCs w:val="24"/>
                <w:highlight w:val="none"/>
                <w:lang w:val="en-US" w:eastAsia="zh-CN"/>
              </w:rPr>
            </w:pPr>
            <w:r>
              <w:rPr>
                <w:rFonts w:hint="eastAsia" w:ascii="宋体" w:hAnsi="宋体" w:cs="宋体"/>
                <w:bCs/>
                <w:iCs/>
                <w:color w:val="auto"/>
                <w:sz w:val="24"/>
                <w:szCs w:val="24"/>
                <w:highlight w:val="none"/>
                <w:lang w:val="en-US" w:eastAsia="zh-CN"/>
              </w:rPr>
              <w:t>请问</w:t>
            </w:r>
            <w:r>
              <w:rPr>
                <w:rFonts w:hint="default" w:ascii="宋体" w:hAnsi="宋体" w:cs="宋体"/>
                <w:bCs/>
                <w:iCs/>
                <w:color w:val="auto"/>
                <w:sz w:val="24"/>
                <w:szCs w:val="24"/>
                <w:highlight w:val="none"/>
                <w:lang w:val="en-US" w:eastAsia="zh-CN"/>
              </w:rPr>
              <w:t>公司的战略发展将如何调整？</w:t>
            </w:r>
          </w:p>
          <w:p w14:paraId="63308A4D">
            <w:pPr>
              <w:numPr>
                <w:ilvl w:val="0"/>
                <w:numId w:val="0"/>
              </w:numPr>
              <w:rPr>
                <w:rFonts w:hint="default" w:ascii="宋体" w:hAnsi="宋体"/>
                <w:sz w:val="24"/>
                <w:szCs w:val="24"/>
              </w:rPr>
            </w:pPr>
            <w:r>
              <w:rPr>
                <w:rFonts w:hint="eastAsia" w:ascii="宋体" w:hAnsi="宋体" w:cs="宋体"/>
                <w:bCs/>
                <w:iCs/>
                <w:color w:val="auto"/>
                <w:sz w:val="24"/>
                <w:szCs w:val="24"/>
                <w:highlight w:val="none"/>
                <w:lang w:val="en-US" w:eastAsia="zh-CN"/>
              </w:rPr>
              <w:t>回复：</w:t>
            </w:r>
            <w:r>
              <w:rPr>
                <w:rFonts w:hint="default" w:ascii="宋体" w:hAnsi="宋体"/>
                <w:sz w:val="24"/>
                <w:szCs w:val="24"/>
              </w:rPr>
              <w:t>管理层正在依据行业和自身情况对公司战略及业务发展进行研讨。</w:t>
            </w:r>
          </w:p>
          <w:p w14:paraId="2E6E283C">
            <w:pPr>
              <w:numPr>
                <w:ilvl w:val="0"/>
                <w:numId w:val="0"/>
              </w:numPr>
              <w:rPr>
                <w:rFonts w:hint="default" w:ascii="宋体" w:hAnsi="宋体"/>
                <w:sz w:val="24"/>
                <w:szCs w:val="24"/>
              </w:rPr>
            </w:pPr>
          </w:p>
          <w:p w14:paraId="52AADCF0">
            <w:pPr>
              <w:numPr>
                <w:ilvl w:val="0"/>
                <w:numId w:val="1"/>
              </w:numPr>
              <w:ind w:left="0" w:leftChars="0" w:firstLine="0" w:firstLineChars="0"/>
              <w:rPr>
                <w:rFonts w:hint="eastAsia" w:ascii="宋体" w:hAnsi="宋体" w:cs="宋体"/>
                <w:bCs/>
                <w:iCs/>
                <w:color w:val="auto"/>
                <w:sz w:val="24"/>
                <w:szCs w:val="24"/>
                <w:highlight w:val="none"/>
                <w:lang w:val="en-US" w:eastAsia="zh-CN"/>
              </w:rPr>
            </w:pPr>
            <w:r>
              <w:rPr>
                <w:rFonts w:hint="eastAsia" w:ascii="宋体" w:hAnsi="宋体" w:cs="宋体"/>
                <w:bCs/>
                <w:iCs/>
                <w:color w:val="auto"/>
                <w:sz w:val="24"/>
                <w:szCs w:val="24"/>
                <w:highlight w:val="none"/>
                <w:lang w:val="en-US" w:eastAsia="zh-CN"/>
              </w:rPr>
              <w:t>请问关于公司出口经销商付款方面，是先款后发货还是有一定账期？有账期的话一般为多久？</w:t>
            </w:r>
          </w:p>
          <w:p w14:paraId="10F6EA01">
            <w:pPr>
              <w:numPr>
                <w:ilvl w:val="0"/>
                <w:numId w:val="0"/>
              </w:numPr>
              <w:ind w:leftChars="0"/>
              <w:rPr>
                <w:rFonts w:ascii="宋体" w:hAnsi="宋体" w:cs="宋体"/>
                <w:bCs/>
                <w:iCs/>
                <w:color w:val="auto"/>
                <w:sz w:val="24"/>
                <w:szCs w:val="24"/>
                <w:highlight w:val="none"/>
              </w:rPr>
            </w:pPr>
            <w:r>
              <w:rPr>
                <w:rFonts w:hint="eastAsia" w:ascii="宋体" w:hAnsi="宋体" w:cs="宋体"/>
                <w:bCs/>
                <w:iCs/>
                <w:color w:val="auto"/>
                <w:sz w:val="24"/>
                <w:szCs w:val="24"/>
                <w:highlight w:val="none"/>
                <w:lang w:val="en-US" w:eastAsia="zh-CN"/>
              </w:rPr>
              <w:t>答：目前经销商结算方式采用TT或信用证的方式，信用证一般为即期，但也接受部分国家地区经销商的远期信用证。</w:t>
            </w:r>
          </w:p>
        </w:tc>
      </w:tr>
      <w:tr w14:paraId="13B3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908" w:type="dxa"/>
            <w:tcBorders>
              <w:top w:val="single" w:color="auto" w:sz="4" w:space="0"/>
              <w:left w:val="single" w:color="auto" w:sz="4" w:space="0"/>
              <w:bottom w:val="single" w:color="auto" w:sz="4" w:space="0"/>
              <w:right w:val="single" w:color="auto" w:sz="4" w:space="0"/>
            </w:tcBorders>
            <w:vAlign w:val="center"/>
          </w:tcPr>
          <w:p w14:paraId="2077D676">
            <w:pPr>
              <w:rPr>
                <w:rFonts w:ascii="宋体" w:hAnsi="宋体" w:cs="宋体"/>
                <w:bCs/>
                <w:iCs/>
                <w:color w:val="auto"/>
                <w:sz w:val="24"/>
                <w:szCs w:val="24"/>
                <w:highlight w:val="none"/>
              </w:rPr>
            </w:pPr>
            <w:r>
              <w:rPr>
                <w:color w:val="auto"/>
                <w:sz w:val="24"/>
                <w:highlight w:val="none"/>
              </w:rPr>
              <w:t>关于本次活动是否涉及应当披露重大信息的说明</w:t>
            </w:r>
          </w:p>
        </w:tc>
        <w:tc>
          <w:tcPr>
            <w:tcW w:w="6614" w:type="dxa"/>
            <w:tcBorders>
              <w:top w:val="single" w:color="auto" w:sz="4" w:space="0"/>
              <w:left w:val="single" w:color="auto" w:sz="4" w:space="0"/>
              <w:bottom w:val="single" w:color="auto" w:sz="4" w:space="0"/>
              <w:right w:val="single" w:color="auto" w:sz="4" w:space="0"/>
            </w:tcBorders>
            <w:vAlign w:val="center"/>
          </w:tcPr>
          <w:p w14:paraId="4B3B980F">
            <w:pPr>
              <w:rPr>
                <w:rFonts w:ascii="宋体" w:hAnsi="宋体" w:cs="宋体"/>
                <w:bCs/>
                <w:iCs/>
                <w:color w:val="auto"/>
                <w:sz w:val="24"/>
                <w:szCs w:val="24"/>
                <w:highlight w:val="none"/>
              </w:rPr>
            </w:pPr>
            <w:r>
              <w:rPr>
                <w:rFonts w:hint="eastAsia" w:ascii="宋体" w:hAnsi="宋体" w:cs="宋体"/>
                <w:bCs/>
                <w:iCs/>
                <w:color w:val="auto"/>
                <w:sz w:val="24"/>
                <w:szCs w:val="24"/>
                <w:highlight w:val="none"/>
              </w:rPr>
              <w:t>本次活动不涉及应当披露的重大信息</w:t>
            </w:r>
          </w:p>
        </w:tc>
      </w:tr>
      <w:tr w14:paraId="3BAE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908" w:type="dxa"/>
            <w:tcBorders>
              <w:top w:val="single" w:color="auto" w:sz="4" w:space="0"/>
              <w:left w:val="single" w:color="auto" w:sz="4" w:space="0"/>
              <w:bottom w:val="single" w:color="auto" w:sz="4" w:space="0"/>
              <w:right w:val="single" w:color="auto" w:sz="4" w:space="0"/>
            </w:tcBorders>
            <w:vAlign w:val="center"/>
          </w:tcPr>
          <w:p w14:paraId="32CDCDD4">
            <w:pPr>
              <w:rPr>
                <w:rFonts w:ascii="宋体" w:hAnsi="宋体" w:cs="宋体"/>
                <w:bCs/>
                <w:iCs/>
                <w:color w:val="auto"/>
                <w:sz w:val="24"/>
                <w:szCs w:val="24"/>
                <w:highlight w:val="none"/>
              </w:rPr>
            </w:pPr>
            <w:r>
              <w:rPr>
                <w:rFonts w:hint="eastAsia" w:ascii="宋体" w:hAnsi="宋体" w:cs="宋体"/>
                <w:bCs/>
                <w:iCs/>
                <w:color w:val="auto"/>
                <w:sz w:val="24"/>
                <w:szCs w:val="24"/>
                <w:highlight w:val="none"/>
              </w:rPr>
              <w:t>附件清单（如有）</w:t>
            </w:r>
          </w:p>
        </w:tc>
        <w:tc>
          <w:tcPr>
            <w:tcW w:w="6614" w:type="dxa"/>
            <w:tcBorders>
              <w:top w:val="single" w:color="auto" w:sz="4" w:space="0"/>
              <w:left w:val="single" w:color="auto" w:sz="4" w:space="0"/>
              <w:bottom w:val="single" w:color="auto" w:sz="4" w:space="0"/>
              <w:right w:val="single" w:color="auto" w:sz="4" w:space="0"/>
            </w:tcBorders>
            <w:vAlign w:val="center"/>
          </w:tcPr>
          <w:p w14:paraId="6E685975">
            <w:pPr>
              <w:widowControl/>
              <w:rPr>
                <w:rFonts w:ascii="宋体" w:hAnsi="宋体" w:cs="宋体"/>
                <w:bCs/>
                <w:iCs/>
                <w:color w:val="auto"/>
                <w:sz w:val="24"/>
                <w:szCs w:val="24"/>
                <w:highlight w:val="none"/>
              </w:rPr>
            </w:pPr>
            <w:r>
              <w:rPr>
                <w:rFonts w:hint="eastAsia" w:ascii="宋体" w:hAnsi="宋体" w:cs="宋体"/>
                <w:bCs/>
                <w:iCs/>
                <w:color w:val="auto"/>
                <w:sz w:val="24"/>
                <w:szCs w:val="24"/>
                <w:highlight w:val="none"/>
              </w:rPr>
              <w:t>无</w:t>
            </w:r>
          </w:p>
        </w:tc>
      </w:tr>
    </w:tbl>
    <w:p w14:paraId="5ECCCF49">
      <w:pPr>
        <w:rPr>
          <w:vanish/>
        </w:rPr>
      </w:pPr>
    </w:p>
    <w:p w14:paraId="04BB013C">
      <w:pPr>
        <w:rPr>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63FAF"/>
    <w:multiLevelType w:val="singleLevel"/>
    <w:tmpl w:val="B2563FAF"/>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TY2Y2YyYzJlYWMwMDY0ODkyYmM2N2IwYTFjM2EifQ=="/>
  </w:docVars>
  <w:rsids>
    <w:rsidRoot w:val="493A274D"/>
    <w:rsid w:val="000B37A3"/>
    <w:rsid w:val="000B44D3"/>
    <w:rsid w:val="000D3195"/>
    <w:rsid w:val="0011651D"/>
    <w:rsid w:val="00131567"/>
    <w:rsid w:val="001538EC"/>
    <w:rsid w:val="00194988"/>
    <w:rsid w:val="002D7559"/>
    <w:rsid w:val="00342DF2"/>
    <w:rsid w:val="003907BD"/>
    <w:rsid w:val="0040799B"/>
    <w:rsid w:val="004108A1"/>
    <w:rsid w:val="004209CD"/>
    <w:rsid w:val="004A7D33"/>
    <w:rsid w:val="004E3C5E"/>
    <w:rsid w:val="004F1DE1"/>
    <w:rsid w:val="005C48B6"/>
    <w:rsid w:val="005F5B65"/>
    <w:rsid w:val="00643C50"/>
    <w:rsid w:val="00727D52"/>
    <w:rsid w:val="008662F6"/>
    <w:rsid w:val="00885FE9"/>
    <w:rsid w:val="008B02B2"/>
    <w:rsid w:val="008B7CBB"/>
    <w:rsid w:val="00943F5C"/>
    <w:rsid w:val="00947E52"/>
    <w:rsid w:val="00963A45"/>
    <w:rsid w:val="0097036B"/>
    <w:rsid w:val="0098160F"/>
    <w:rsid w:val="009A1F1E"/>
    <w:rsid w:val="009A470E"/>
    <w:rsid w:val="00A34F53"/>
    <w:rsid w:val="00A50A18"/>
    <w:rsid w:val="00A6248B"/>
    <w:rsid w:val="00AB44D5"/>
    <w:rsid w:val="00AE3752"/>
    <w:rsid w:val="00B234DF"/>
    <w:rsid w:val="00B855D7"/>
    <w:rsid w:val="00C9722B"/>
    <w:rsid w:val="00CC76F4"/>
    <w:rsid w:val="00CF0C81"/>
    <w:rsid w:val="00D044EB"/>
    <w:rsid w:val="00DB0956"/>
    <w:rsid w:val="00DF5B36"/>
    <w:rsid w:val="00E93B7E"/>
    <w:rsid w:val="00F40DEE"/>
    <w:rsid w:val="00F91AFA"/>
    <w:rsid w:val="00F93D7A"/>
    <w:rsid w:val="013A4958"/>
    <w:rsid w:val="0146246E"/>
    <w:rsid w:val="014A26E1"/>
    <w:rsid w:val="018F0E78"/>
    <w:rsid w:val="01967485"/>
    <w:rsid w:val="01BF5686"/>
    <w:rsid w:val="01E614DD"/>
    <w:rsid w:val="01F95A93"/>
    <w:rsid w:val="0218183D"/>
    <w:rsid w:val="02934335"/>
    <w:rsid w:val="02AE68AF"/>
    <w:rsid w:val="02C247AE"/>
    <w:rsid w:val="037C15AD"/>
    <w:rsid w:val="042A4EC4"/>
    <w:rsid w:val="04620E04"/>
    <w:rsid w:val="048D195A"/>
    <w:rsid w:val="049F57FE"/>
    <w:rsid w:val="04FE5637"/>
    <w:rsid w:val="050B39E6"/>
    <w:rsid w:val="05251DE5"/>
    <w:rsid w:val="053138D4"/>
    <w:rsid w:val="05B023A4"/>
    <w:rsid w:val="05F05BAB"/>
    <w:rsid w:val="067A2B8B"/>
    <w:rsid w:val="069229F8"/>
    <w:rsid w:val="06B56F46"/>
    <w:rsid w:val="06CE0EAF"/>
    <w:rsid w:val="0780281E"/>
    <w:rsid w:val="07D93108"/>
    <w:rsid w:val="08035A16"/>
    <w:rsid w:val="08562CE8"/>
    <w:rsid w:val="08852541"/>
    <w:rsid w:val="0890371A"/>
    <w:rsid w:val="08C534BB"/>
    <w:rsid w:val="09243AC5"/>
    <w:rsid w:val="09921729"/>
    <w:rsid w:val="0A0276D6"/>
    <w:rsid w:val="0A0342E9"/>
    <w:rsid w:val="0A3858C9"/>
    <w:rsid w:val="0A727E8E"/>
    <w:rsid w:val="0A991AB3"/>
    <w:rsid w:val="0AA86C32"/>
    <w:rsid w:val="0AF00CC5"/>
    <w:rsid w:val="0B293A5F"/>
    <w:rsid w:val="0B2D611B"/>
    <w:rsid w:val="0B382AA3"/>
    <w:rsid w:val="0B742D43"/>
    <w:rsid w:val="0B8C4E21"/>
    <w:rsid w:val="0C050798"/>
    <w:rsid w:val="0C2B42CB"/>
    <w:rsid w:val="0CC6187A"/>
    <w:rsid w:val="0CC90541"/>
    <w:rsid w:val="0D14156B"/>
    <w:rsid w:val="0D300E2A"/>
    <w:rsid w:val="0DC161D1"/>
    <w:rsid w:val="0DCD62F4"/>
    <w:rsid w:val="0E214D9D"/>
    <w:rsid w:val="0E5B60C3"/>
    <w:rsid w:val="0E800F2B"/>
    <w:rsid w:val="0EE046D9"/>
    <w:rsid w:val="0F251AA6"/>
    <w:rsid w:val="0FCC716B"/>
    <w:rsid w:val="0FF5178D"/>
    <w:rsid w:val="10295E18"/>
    <w:rsid w:val="106266AB"/>
    <w:rsid w:val="107A6B0B"/>
    <w:rsid w:val="116C28F7"/>
    <w:rsid w:val="11B7516C"/>
    <w:rsid w:val="12D76BA9"/>
    <w:rsid w:val="13276D39"/>
    <w:rsid w:val="134B421D"/>
    <w:rsid w:val="13C870C8"/>
    <w:rsid w:val="148131C1"/>
    <w:rsid w:val="149745E3"/>
    <w:rsid w:val="14D25125"/>
    <w:rsid w:val="15862DE4"/>
    <w:rsid w:val="16786CCF"/>
    <w:rsid w:val="16875F60"/>
    <w:rsid w:val="16BD154C"/>
    <w:rsid w:val="16CB272E"/>
    <w:rsid w:val="16FA111C"/>
    <w:rsid w:val="174543FE"/>
    <w:rsid w:val="17924700"/>
    <w:rsid w:val="17AD6819"/>
    <w:rsid w:val="17BA4FFA"/>
    <w:rsid w:val="17F7378E"/>
    <w:rsid w:val="182A5648"/>
    <w:rsid w:val="186F6D84"/>
    <w:rsid w:val="193D08CB"/>
    <w:rsid w:val="193E1B5D"/>
    <w:rsid w:val="19731801"/>
    <w:rsid w:val="19736C7A"/>
    <w:rsid w:val="19752F56"/>
    <w:rsid w:val="198B34A8"/>
    <w:rsid w:val="19AF13A3"/>
    <w:rsid w:val="19E675F9"/>
    <w:rsid w:val="1A146A9A"/>
    <w:rsid w:val="1A221AAC"/>
    <w:rsid w:val="1A2E44DA"/>
    <w:rsid w:val="1A511DFF"/>
    <w:rsid w:val="1A525767"/>
    <w:rsid w:val="1AB90B6F"/>
    <w:rsid w:val="1B025336"/>
    <w:rsid w:val="1B2E158D"/>
    <w:rsid w:val="1B7504F7"/>
    <w:rsid w:val="1C023119"/>
    <w:rsid w:val="1C0C10F3"/>
    <w:rsid w:val="1C5D463E"/>
    <w:rsid w:val="1C647A98"/>
    <w:rsid w:val="1C7F12A0"/>
    <w:rsid w:val="1CA06B02"/>
    <w:rsid w:val="1CC8316B"/>
    <w:rsid w:val="1D454396"/>
    <w:rsid w:val="1D4C102E"/>
    <w:rsid w:val="1E040809"/>
    <w:rsid w:val="1E1103F2"/>
    <w:rsid w:val="1E2B2EE3"/>
    <w:rsid w:val="1E5E09FB"/>
    <w:rsid w:val="1EB24651"/>
    <w:rsid w:val="1F01176E"/>
    <w:rsid w:val="1F2B2044"/>
    <w:rsid w:val="1F766517"/>
    <w:rsid w:val="1F7716B2"/>
    <w:rsid w:val="1F7812C6"/>
    <w:rsid w:val="1F7F78A9"/>
    <w:rsid w:val="1FDB043E"/>
    <w:rsid w:val="200D5878"/>
    <w:rsid w:val="203B039C"/>
    <w:rsid w:val="206612F6"/>
    <w:rsid w:val="20B36FFF"/>
    <w:rsid w:val="20D858B3"/>
    <w:rsid w:val="20EF284D"/>
    <w:rsid w:val="212136FE"/>
    <w:rsid w:val="213F699C"/>
    <w:rsid w:val="216F3E17"/>
    <w:rsid w:val="21A3389D"/>
    <w:rsid w:val="21B73BD6"/>
    <w:rsid w:val="222D626C"/>
    <w:rsid w:val="2230437A"/>
    <w:rsid w:val="22B57B24"/>
    <w:rsid w:val="23086DE2"/>
    <w:rsid w:val="23260EAB"/>
    <w:rsid w:val="234D149D"/>
    <w:rsid w:val="23725130"/>
    <w:rsid w:val="23960811"/>
    <w:rsid w:val="23F7716D"/>
    <w:rsid w:val="23FE1CD5"/>
    <w:rsid w:val="24460840"/>
    <w:rsid w:val="24911995"/>
    <w:rsid w:val="24941163"/>
    <w:rsid w:val="24C746D4"/>
    <w:rsid w:val="255657D2"/>
    <w:rsid w:val="25A47F00"/>
    <w:rsid w:val="25C41FB9"/>
    <w:rsid w:val="25E91DEE"/>
    <w:rsid w:val="26314015"/>
    <w:rsid w:val="26964850"/>
    <w:rsid w:val="269C6D7A"/>
    <w:rsid w:val="26DF431D"/>
    <w:rsid w:val="270C67E2"/>
    <w:rsid w:val="270E366C"/>
    <w:rsid w:val="272E0923"/>
    <w:rsid w:val="273A77E3"/>
    <w:rsid w:val="275C4FC4"/>
    <w:rsid w:val="277B343D"/>
    <w:rsid w:val="27886139"/>
    <w:rsid w:val="27BF3329"/>
    <w:rsid w:val="27E5575B"/>
    <w:rsid w:val="27EE4BBD"/>
    <w:rsid w:val="283C698F"/>
    <w:rsid w:val="28C7450D"/>
    <w:rsid w:val="28CC40DC"/>
    <w:rsid w:val="292464D5"/>
    <w:rsid w:val="29396FE6"/>
    <w:rsid w:val="296123F9"/>
    <w:rsid w:val="29676259"/>
    <w:rsid w:val="2995095C"/>
    <w:rsid w:val="29D63BF0"/>
    <w:rsid w:val="29E02CD1"/>
    <w:rsid w:val="2AA46831"/>
    <w:rsid w:val="2B4B2F56"/>
    <w:rsid w:val="2B4F2AB2"/>
    <w:rsid w:val="2B5A7295"/>
    <w:rsid w:val="2B735FA9"/>
    <w:rsid w:val="2B8B3C04"/>
    <w:rsid w:val="2B8D7CC4"/>
    <w:rsid w:val="2BCB3BB8"/>
    <w:rsid w:val="2C1572F0"/>
    <w:rsid w:val="2C4E1D99"/>
    <w:rsid w:val="2C800095"/>
    <w:rsid w:val="2C964F80"/>
    <w:rsid w:val="2CAA0127"/>
    <w:rsid w:val="2CB11689"/>
    <w:rsid w:val="2CD47877"/>
    <w:rsid w:val="2CE15995"/>
    <w:rsid w:val="2CF04C15"/>
    <w:rsid w:val="2D8E7697"/>
    <w:rsid w:val="2E024FFE"/>
    <w:rsid w:val="2E590D54"/>
    <w:rsid w:val="2E662152"/>
    <w:rsid w:val="2EA51A7A"/>
    <w:rsid w:val="2F280993"/>
    <w:rsid w:val="2F62420F"/>
    <w:rsid w:val="2F902313"/>
    <w:rsid w:val="2FC75471"/>
    <w:rsid w:val="2FD45DE0"/>
    <w:rsid w:val="30095AC2"/>
    <w:rsid w:val="304D05A1"/>
    <w:rsid w:val="30620D37"/>
    <w:rsid w:val="30624903"/>
    <w:rsid w:val="309B06D0"/>
    <w:rsid w:val="30AF5A2C"/>
    <w:rsid w:val="310B34C5"/>
    <w:rsid w:val="31763FF4"/>
    <w:rsid w:val="31D645E6"/>
    <w:rsid w:val="31E72BF8"/>
    <w:rsid w:val="31F63C9F"/>
    <w:rsid w:val="32213984"/>
    <w:rsid w:val="32810B4D"/>
    <w:rsid w:val="33617B99"/>
    <w:rsid w:val="33774C3E"/>
    <w:rsid w:val="33933192"/>
    <w:rsid w:val="33A677AC"/>
    <w:rsid w:val="33E475F4"/>
    <w:rsid w:val="34A916C2"/>
    <w:rsid w:val="351A769C"/>
    <w:rsid w:val="35227BD5"/>
    <w:rsid w:val="35583604"/>
    <w:rsid w:val="358C1ADF"/>
    <w:rsid w:val="359130D0"/>
    <w:rsid w:val="35C275C5"/>
    <w:rsid w:val="35C9034A"/>
    <w:rsid w:val="360278A7"/>
    <w:rsid w:val="36580EA7"/>
    <w:rsid w:val="36783529"/>
    <w:rsid w:val="37143B06"/>
    <w:rsid w:val="371C3939"/>
    <w:rsid w:val="37603B79"/>
    <w:rsid w:val="38211BE5"/>
    <w:rsid w:val="38794EB2"/>
    <w:rsid w:val="3891605F"/>
    <w:rsid w:val="38975EC3"/>
    <w:rsid w:val="389968C5"/>
    <w:rsid w:val="38B30C88"/>
    <w:rsid w:val="39273424"/>
    <w:rsid w:val="39B568AE"/>
    <w:rsid w:val="39F540C7"/>
    <w:rsid w:val="3A5D0E46"/>
    <w:rsid w:val="3A873793"/>
    <w:rsid w:val="3AFA02EA"/>
    <w:rsid w:val="3B2D645F"/>
    <w:rsid w:val="3B4E6A46"/>
    <w:rsid w:val="3BA92D00"/>
    <w:rsid w:val="3BB0325D"/>
    <w:rsid w:val="3BC903A6"/>
    <w:rsid w:val="3BD403D0"/>
    <w:rsid w:val="3CA8133C"/>
    <w:rsid w:val="3CB00786"/>
    <w:rsid w:val="3D201421"/>
    <w:rsid w:val="3DE22221"/>
    <w:rsid w:val="3E0755D2"/>
    <w:rsid w:val="3EF11FA7"/>
    <w:rsid w:val="3F101C46"/>
    <w:rsid w:val="3F1E47CD"/>
    <w:rsid w:val="3F2B5B2C"/>
    <w:rsid w:val="3F9A4CD2"/>
    <w:rsid w:val="3FA6282D"/>
    <w:rsid w:val="3FA95489"/>
    <w:rsid w:val="3FD37BD9"/>
    <w:rsid w:val="3FEB7AEB"/>
    <w:rsid w:val="3FEE7933"/>
    <w:rsid w:val="40510A2D"/>
    <w:rsid w:val="405E2183"/>
    <w:rsid w:val="406F5026"/>
    <w:rsid w:val="40B20C7B"/>
    <w:rsid w:val="40D1333F"/>
    <w:rsid w:val="415666C4"/>
    <w:rsid w:val="41F042AF"/>
    <w:rsid w:val="41F87936"/>
    <w:rsid w:val="42077E5C"/>
    <w:rsid w:val="42447784"/>
    <w:rsid w:val="424B5F1F"/>
    <w:rsid w:val="425275DA"/>
    <w:rsid w:val="42540C2F"/>
    <w:rsid w:val="425677DC"/>
    <w:rsid w:val="42BA10E0"/>
    <w:rsid w:val="430753ED"/>
    <w:rsid w:val="431805A4"/>
    <w:rsid w:val="434045A4"/>
    <w:rsid w:val="439B014E"/>
    <w:rsid w:val="43AB26E5"/>
    <w:rsid w:val="43D3678A"/>
    <w:rsid w:val="43DA68F3"/>
    <w:rsid w:val="43F3334F"/>
    <w:rsid w:val="441D0B59"/>
    <w:rsid w:val="44305C62"/>
    <w:rsid w:val="448A67A6"/>
    <w:rsid w:val="44914A02"/>
    <w:rsid w:val="45100E05"/>
    <w:rsid w:val="454E65FA"/>
    <w:rsid w:val="459814E1"/>
    <w:rsid w:val="45C014AB"/>
    <w:rsid w:val="46037DA8"/>
    <w:rsid w:val="46856BC1"/>
    <w:rsid w:val="46865F3D"/>
    <w:rsid w:val="46AC3AE4"/>
    <w:rsid w:val="47EE3268"/>
    <w:rsid w:val="48073992"/>
    <w:rsid w:val="48D841B7"/>
    <w:rsid w:val="493A274D"/>
    <w:rsid w:val="493D57A2"/>
    <w:rsid w:val="49B53CE7"/>
    <w:rsid w:val="4A0D7179"/>
    <w:rsid w:val="4ABF7448"/>
    <w:rsid w:val="4B210EC1"/>
    <w:rsid w:val="4B355159"/>
    <w:rsid w:val="4B5871CE"/>
    <w:rsid w:val="4B644667"/>
    <w:rsid w:val="4B990D99"/>
    <w:rsid w:val="4BBA0128"/>
    <w:rsid w:val="4BCE14DD"/>
    <w:rsid w:val="4BD741AC"/>
    <w:rsid w:val="4C0B0F6D"/>
    <w:rsid w:val="4D0F6747"/>
    <w:rsid w:val="4D20049B"/>
    <w:rsid w:val="4D355172"/>
    <w:rsid w:val="4D6635BD"/>
    <w:rsid w:val="4D7D7DE8"/>
    <w:rsid w:val="4D806B0E"/>
    <w:rsid w:val="4DB77786"/>
    <w:rsid w:val="4DBA49D4"/>
    <w:rsid w:val="4DF11D89"/>
    <w:rsid w:val="4EBF2A3C"/>
    <w:rsid w:val="4EC61076"/>
    <w:rsid w:val="4F0E4107"/>
    <w:rsid w:val="4F0E6295"/>
    <w:rsid w:val="4F232622"/>
    <w:rsid w:val="4F2C0817"/>
    <w:rsid w:val="4F90367A"/>
    <w:rsid w:val="4FD51E7F"/>
    <w:rsid w:val="4FFA6D90"/>
    <w:rsid w:val="50CA14DF"/>
    <w:rsid w:val="50E02504"/>
    <w:rsid w:val="50F91B9A"/>
    <w:rsid w:val="51142088"/>
    <w:rsid w:val="511712CC"/>
    <w:rsid w:val="511F0AE0"/>
    <w:rsid w:val="514C35D0"/>
    <w:rsid w:val="51752912"/>
    <w:rsid w:val="51C370F3"/>
    <w:rsid w:val="51D34799"/>
    <w:rsid w:val="51F353CF"/>
    <w:rsid w:val="524719CE"/>
    <w:rsid w:val="52481E5E"/>
    <w:rsid w:val="528E5578"/>
    <w:rsid w:val="531A46F9"/>
    <w:rsid w:val="53EF665E"/>
    <w:rsid w:val="5438774A"/>
    <w:rsid w:val="55375A25"/>
    <w:rsid w:val="555F6EB8"/>
    <w:rsid w:val="5606317F"/>
    <w:rsid w:val="564B433F"/>
    <w:rsid w:val="568828F0"/>
    <w:rsid w:val="56C04267"/>
    <w:rsid w:val="56C6791C"/>
    <w:rsid w:val="56D24C32"/>
    <w:rsid w:val="56FB398B"/>
    <w:rsid w:val="5731090B"/>
    <w:rsid w:val="57340315"/>
    <w:rsid w:val="57982B97"/>
    <w:rsid w:val="58371B97"/>
    <w:rsid w:val="58491100"/>
    <w:rsid w:val="58575D18"/>
    <w:rsid w:val="587364EF"/>
    <w:rsid w:val="58E9548E"/>
    <w:rsid w:val="595D621A"/>
    <w:rsid w:val="5964788E"/>
    <w:rsid w:val="5972697B"/>
    <w:rsid w:val="599447AF"/>
    <w:rsid w:val="59E06DB9"/>
    <w:rsid w:val="59EF0BEF"/>
    <w:rsid w:val="59F1740B"/>
    <w:rsid w:val="5A3E01E7"/>
    <w:rsid w:val="5A6D1F21"/>
    <w:rsid w:val="5A6E5C7B"/>
    <w:rsid w:val="5A813988"/>
    <w:rsid w:val="5BC522BB"/>
    <w:rsid w:val="5BFE3054"/>
    <w:rsid w:val="5C15705C"/>
    <w:rsid w:val="5C4F161D"/>
    <w:rsid w:val="5C716E94"/>
    <w:rsid w:val="5C7878B1"/>
    <w:rsid w:val="5CDF205A"/>
    <w:rsid w:val="5CF71228"/>
    <w:rsid w:val="5D0D7CA5"/>
    <w:rsid w:val="5D820C77"/>
    <w:rsid w:val="5D873A77"/>
    <w:rsid w:val="5DAF4C1B"/>
    <w:rsid w:val="5E2C0F7D"/>
    <w:rsid w:val="5E3117A7"/>
    <w:rsid w:val="5E403EE7"/>
    <w:rsid w:val="5E837E26"/>
    <w:rsid w:val="5ED03A93"/>
    <w:rsid w:val="5EF05598"/>
    <w:rsid w:val="5EF05CB7"/>
    <w:rsid w:val="5F155A25"/>
    <w:rsid w:val="5FB707AE"/>
    <w:rsid w:val="5FCE7FFE"/>
    <w:rsid w:val="601C7A90"/>
    <w:rsid w:val="60296DE8"/>
    <w:rsid w:val="60C62554"/>
    <w:rsid w:val="610C420E"/>
    <w:rsid w:val="61147339"/>
    <w:rsid w:val="611B7262"/>
    <w:rsid w:val="61571ABE"/>
    <w:rsid w:val="616816BC"/>
    <w:rsid w:val="61EA69A8"/>
    <w:rsid w:val="620D2908"/>
    <w:rsid w:val="62527017"/>
    <w:rsid w:val="62754D37"/>
    <w:rsid w:val="627F30FA"/>
    <w:rsid w:val="62AD2979"/>
    <w:rsid w:val="62D4066B"/>
    <w:rsid w:val="63336DF4"/>
    <w:rsid w:val="6357446E"/>
    <w:rsid w:val="63904276"/>
    <w:rsid w:val="63C17980"/>
    <w:rsid w:val="63E91966"/>
    <w:rsid w:val="642226D2"/>
    <w:rsid w:val="643E5790"/>
    <w:rsid w:val="64552344"/>
    <w:rsid w:val="64A51ECC"/>
    <w:rsid w:val="65527417"/>
    <w:rsid w:val="65A2617E"/>
    <w:rsid w:val="661E1587"/>
    <w:rsid w:val="664A62D0"/>
    <w:rsid w:val="666D1BC7"/>
    <w:rsid w:val="66882EA5"/>
    <w:rsid w:val="66A76E0C"/>
    <w:rsid w:val="66CB4B3F"/>
    <w:rsid w:val="66E70B06"/>
    <w:rsid w:val="66F741BB"/>
    <w:rsid w:val="67280BA1"/>
    <w:rsid w:val="67344AEB"/>
    <w:rsid w:val="674249B9"/>
    <w:rsid w:val="6755678B"/>
    <w:rsid w:val="680C4929"/>
    <w:rsid w:val="682C6B15"/>
    <w:rsid w:val="685E4524"/>
    <w:rsid w:val="686B3E4F"/>
    <w:rsid w:val="69083E29"/>
    <w:rsid w:val="699C4118"/>
    <w:rsid w:val="69C275FD"/>
    <w:rsid w:val="69F14D6B"/>
    <w:rsid w:val="6A0435BC"/>
    <w:rsid w:val="6A5F34F1"/>
    <w:rsid w:val="6A940DC6"/>
    <w:rsid w:val="6AC83272"/>
    <w:rsid w:val="6B0C5E52"/>
    <w:rsid w:val="6B5E5F82"/>
    <w:rsid w:val="6B8E2B91"/>
    <w:rsid w:val="6B9619A2"/>
    <w:rsid w:val="6B9D76F1"/>
    <w:rsid w:val="6BD37E20"/>
    <w:rsid w:val="6BD57D6A"/>
    <w:rsid w:val="6C4A261C"/>
    <w:rsid w:val="6C680DBD"/>
    <w:rsid w:val="6CA1689E"/>
    <w:rsid w:val="6CBA3E74"/>
    <w:rsid w:val="6D9263B7"/>
    <w:rsid w:val="6DA8190C"/>
    <w:rsid w:val="6DBF2DF8"/>
    <w:rsid w:val="6DC55031"/>
    <w:rsid w:val="6DEC705B"/>
    <w:rsid w:val="6E73497F"/>
    <w:rsid w:val="6F1137CB"/>
    <w:rsid w:val="6F753A7C"/>
    <w:rsid w:val="6F78332C"/>
    <w:rsid w:val="6FAF7A0A"/>
    <w:rsid w:val="6FB60DC4"/>
    <w:rsid w:val="6FFF3CAB"/>
    <w:rsid w:val="703419A7"/>
    <w:rsid w:val="70550B86"/>
    <w:rsid w:val="706627F5"/>
    <w:rsid w:val="70901081"/>
    <w:rsid w:val="709839A4"/>
    <w:rsid w:val="70C13093"/>
    <w:rsid w:val="70F67C10"/>
    <w:rsid w:val="70F773D5"/>
    <w:rsid w:val="713266F9"/>
    <w:rsid w:val="719D3FE2"/>
    <w:rsid w:val="71C169F5"/>
    <w:rsid w:val="720D0EBC"/>
    <w:rsid w:val="72146F60"/>
    <w:rsid w:val="72312865"/>
    <w:rsid w:val="727E170C"/>
    <w:rsid w:val="72893E0D"/>
    <w:rsid w:val="73005B71"/>
    <w:rsid w:val="733A64F8"/>
    <w:rsid w:val="739026A6"/>
    <w:rsid w:val="7418710E"/>
    <w:rsid w:val="7444425B"/>
    <w:rsid w:val="74591085"/>
    <w:rsid w:val="74957077"/>
    <w:rsid w:val="74A86015"/>
    <w:rsid w:val="74D213D3"/>
    <w:rsid w:val="74DA1695"/>
    <w:rsid w:val="74FC5A8F"/>
    <w:rsid w:val="753F43E4"/>
    <w:rsid w:val="75D424DA"/>
    <w:rsid w:val="76704907"/>
    <w:rsid w:val="76983EDE"/>
    <w:rsid w:val="77184FDD"/>
    <w:rsid w:val="77BB6C0B"/>
    <w:rsid w:val="77C6444D"/>
    <w:rsid w:val="78100640"/>
    <w:rsid w:val="799E319D"/>
    <w:rsid w:val="79AE6AFC"/>
    <w:rsid w:val="7A4E00D6"/>
    <w:rsid w:val="7A552871"/>
    <w:rsid w:val="7A654571"/>
    <w:rsid w:val="7A7379F6"/>
    <w:rsid w:val="7A7C0A63"/>
    <w:rsid w:val="7AB568B0"/>
    <w:rsid w:val="7AEB25EE"/>
    <w:rsid w:val="7B051D01"/>
    <w:rsid w:val="7B1C6EE2"/>
    <w:rsid w:val="7B2F3E35"/>
    <w:rsid w:val="7BB901D7"/>
    <w:rsid w:val="7C0E7AB8"/>
    <w:rsid w:val="7C1254FC"/>
    <w:rsid w:val="7C24529D"/>
    <w:rsid w:val="7C3B12BC"/>
    <w:rsid w:val="7C71038B"/>
    <w:rsid w:val="7CA3621D"/>
    <w:rsid w:val="7CB136AA"/>
    <w:rsid w:val="7CB16E84"/>
    <w:rsid w:val="7CE10334"/>
    <w:rsid w:val="7CEB0964"/>
    <w:rsid w:val="7D1F193A"/>
    <w:rsid w:val="7D9942C4"/>
    <w:rsid w:val="7DAA53AE"/>
    <w:rsid w:val="7E26070B"/>
    <w:rsid w:val="7E834226"/>
    <w:rsid w:val="7ECD6C86"/>
    <w:rsid w:val="7EF027CD"/>
    <w:rsid w:val="7F1E1C65"/>
    <w:rsid w:val="7F714251"/>
    <w:rsid w:val="7F8A44D2"/>
    <w:rsid w:val="7FCD7AE5"/>
    <w:rsid w:val="7FD94AE3"/>
    <w:rsid w:val="7FFC09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14"/>
    <w:qFormat/>
    <w:uiPriority w:val="0"/>
    <w:rPr>
      <w:b/>
      <w:bCs/>
    </w:rPr>
  </w:style>
  <w:style w:type="character" w:styleId="10">
    <w:name w:val="annotation reference"/>
    <w:basedOn w:val="9"/>
    <w:qFormat/>
    <w:uiPriority w:val="0"/>
    <w:rPr>
      <w:sz w:val="21"/>
      <w:szCs w:val="21"/>
    </w:rPr>
  </w:style>
  <w:style w:type="character" w:customStyle="1" w:styleId="11">
    <w:name w:val="页眉 Char"/>
    <w:basedOn w:val="9"/>
    <w:link w:val="5"/>
    <w:qFormat/>
    <w:uiPriority w:val="0"/>
    <w:rPr>
      <w:rFonts w:ascii="Calibri" w:hAnsi="Calibri"/>
      <w:kern w:val="2"/>
      <w:sz w:val="18"/>
      <w:szCs w:val="18"/>
    </w:rPr>
  </w:style>
  <w:style w:type="character" w:customStyle="1" w:styleId="12">
    <w:name w:val="页脚 Char"/>
    <w:basedOn w:val="9"/>
    <w:link w:val="4"/>
    <w:qFormat/>
    <w:uiPriority w:val="0"/>
    <w:rPr>
      <w:rFonts w:ascii="Calibri" w:hAnsi="Calibri"/>
      <w:kern w:val="2"/>
      <w:sz w:val="18"/>
      <w:szCs w:val="18"/>
    </w:rPr>
  </w:style>
  <w:style w:type="character" w:customStyle="1" w:styleId="13">
    <w:name w:val="批注文字 Char"/>
    <w:basedOn w:val="9"/>
    <w:link w:val="2"/>
    <w:qFormat/>
    <w:uiPriority w:val="0"/>
    <w:rPr>
      <w:rFonts w:ascii="Calibri" w:hAnsi="Calibri"/>
      <w:kern w:val="2"/>
      <w:sz w:val="21"/>
      <w:szCs w:val="22"/>
    </w:rPr>
  </w:style>
  <w:style w:type="character" w:customStyle="1" w:styleId="14">
    <w:name w:val="批注主题 Char"/>
    <w:basedOn w:val="13"/>
    <w:link w:val="7"/>
    <w:qFormat/>
    <w:uiPriority w:val="0"/>
    <w:rPr>
      <w:rFonts w:ascii="Calibri" w:hAnsi="Calibri"/>
      <w:b/>
      <w:bCs/>
      <w:kern w:val="2"/>
      <w:sz w:val="21"/>
      <w:szCs w:val="22"/>
    </w:rPr>
  </w:style>
  <w:style w:type="character" w:customStyle="1" w:styleId="15">
    <w:name w:val="批注框文本 Char"/>
    <w:basedOn w:val="9"/>
    <w:link w:val="3"/>
    <w:qFormat/>
    <w:uiPriority w:val="0"/>
    <w:rPr>
      <w:rFonts w:ascii="Calibri" w:hAnsi="Calibri"/>
      <w:kern w:val="2"/>
      <w:sz w:val="18"/>
      <w:szCs w:val="18"/>
    </w:rPr>
  </w:style>
  <w:style w:type="paragraph" w:styleId="16">
    <w:name w:val="List Paragraph"/>
    <w:basedOn w:val="1"/>
    <w:qFormat/>
    <w:uiPriority w:val="34"/>
    <w:pPr>
      <w:ind w:firstLine="420" w:firstLineChars="200"/>
    </w:pPr>
  </w:style>
  <w:style w:type="paragraph" w:customStyle="1" w:styleId="17">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Geely.com</Company>
  <Pages>2</Pages>
  <Words>901</Words>
  <Characters>964</Characters>
  <Lines>11</Lines>
  <Paragraphs>3</Paragraphs>
  <TotalTime>105</TotalTime>
  <ScaleCrop>false</ScaleCrop>
  <LinksUpToDate>false</LinksUpToDate>
  <CharactersWithSpaces>1077</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2023-02-02T04:23:00Z</dcterms:created>
  <dc:creator>xinxin.li</dc:creator>
  <cp:lastModifiedBy>xinxin.li</cp:lastModifiedBy>
  <cp:lastPrinted>2024-11-01T00:51:00Z</cp:lastPrinted>
  <dcterms:modified xsi:type="dcterms:W3CDTF">2024-11-29T10:33:53Z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EE7CA82E8310438CA94BCCD2FCC78925_13</vt:lpwstr>
  </property>
</Properties>
</file>