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51EDE">
      <w:pPr>
        <w:spacing w:before="121" w:line="219" w:lineRule="auto"/>
        <w:ind w:left="23"/>
        <w:rPr>
          <w:rFonts w:ascii="Arial Narrow" w:hAnsi="Arial Narrow" w:eastAsia="宋体" w:cs="宋体"/>
          <w:sz w:val="24"/>
          <w:szCs w:val="24"/>
          <w:lang w:eastAsia="zh-CN"/>
        </w:rPr>
      </w:pPr>
      <w:r>
        <w:rPr>
          <w:rFonts w:ascii="Arial Narrow" w:hAnsi="Arial Narrow" w:eastAsia="宋体" w:cs="宋体"/>
          <w:sz w:val="24"/>
          <w:szCs w:val="24"/>
          <w:lang w:eastAsia="zh-CN"/>
        </w:rPr>
        <w:t>证券代码：60</w:t>
      </w:r>
      <w:r>
        <w:rPr>
          <w:rFonts w:hint="eastAsia" w:ascii="Arial Narrow" w:hAnsi="Arial Narrow" w:eastAsia="宋体" w:cs="宋体"/>
          <w:sz w:val="24"/>
          <w:szCs w:val="24"/>
          <w:lang w:eastAsia="zh-CN"/>
        </w:rPr>
        <w:t>0438</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eastAsia="zh-CN"/>
        </w:rPr>
        <w:t xml:space="preserve">       </w:t>
      </w:r>
      <w:r>
        <w:rPr>
          <w:rFonts w:ascii="Arial Narrow" w:hAnsi="Arial Narrow" w:eastAsia="宋体" w:cs="宋体"/>
          <w:sz w:val="24"/>
          <w:szCs w:val="24"/>
          <w:lang w:eastAsia="zh-CN"/>
        </w:rPr>
        <w:t xml:space="preserve">   </w:t>
      </w:r>
      <w:r>
        <w:rPr>
          <w:rFonts w:hint="eastAsia" w:ascii="Arial Narrow" w:hAnsi="Arial Narrow" w:eastAsia="宋体" w:cs="宋体"/>
          <w:sz w:val="24"/>
          <w:szCs w:val="24"/>
          <w:lang w:eastAsia="zh-CN"/>
        </w:rPr>
        <w:t xml:space="preserve"> </w:t>
      </w:r>
      <w:r>
        <w:rPr>
          <w:rFonts w:ascii="Arial Narrow" w:hAnsi="Arial Narrow" w:eastAsia="宋体" w:cs="宋体"/>
          <w:sz w:val="24"/>
          <w:szCs w:val="24"/>
          <w:lang w:eastAsia="zh-CN"/>
        </w:rPr>
        <w:t xml:space="preserve">     </w:t>
      </w:r>
      <w:r>
        <w:rPr>
          <w:rFonts w:ascii="Arial Narrow" w:hAnsi="Arial Narrow" w:eastAsia="宋体" w:cs="宋体"/>
          <w:spacing w:val="-1"/>
          <w:sz w:val="24"/>
          <w:szCs w:val="24"/>
          <w:lang w:eastAsia="zh-CN"/>
        </w:rPr>
        <w:t>证券简称：</w:t>
      </w:r>
      <w:r>
        <w:rPr>
          <w:rFonts w:hint="eastAsia" w:ascii="Arial Narrow" w:hAnsi="Arial Narrow" w:eastAsia="宋体" w:cs="宋体"/>
          <w:spacing w:val="-1"/>
          <w:sz w:val="24"/>
          <w:szCs w:val="24"/>
          <w:lang w:eastAsia="zh-CN"/>
        </w:rPr>
        <w:t>通威股份                          编号：2024-09</w:t>
      </w:r>
    </w:p>
    <w:p w14:paraId="1A670879">
      <w:pPr>
        <w:spacing w:before="480" w:beforeLines="200" w:line="360" w:lineRule="auto"/>
        <w:jc w:val="center"/>
        <w:outlineLvl w:val="0"/>
        <w:rPr>
          <w:rFonts w:ascii="Arial Narrow" w:hAnsi="Arial Narrow" w:eastAsia="宋体" w:cs="宋体"/>
          <w:spacing w:val="3"/>
          <w:sz w:val="32"/>
          <w:szCs w:val="32"/>
          <w:lang w:eastAsia="zh-CN"/>
        </w:rPr>
      </w:pPr>
      <w:r>
        <w:rPr>
          <w:rFonts w:hint="eastAsia" w:ascii="Arial Narrow" w:hAnsi="Arial Narrow" w:eastAsia="宋体" w:cs="宋体"/>
          <w:b/>
          <w:bCs/>
          <w:spacing w:val="-4"/>
          <w:sz w:val="32"/>
          <w:szCs w:val="32"/>
          <w:lang w:eastAsia="zh-CN"/>
        </w:rPr>
        <w:t>通威股份</w:t>
      </w:r>
      <w:r>
        <w:rPr>
          <w:rFonts w:ascii="Arial Narrow" w:hAnsi="Arial Narrow" w:eastAsia="宋体" w:cs="宋体"/>
          <w:b/>
          <w:bCs/>
          <w:spacing w:val="-4"/>
          <w:sz w:val="32"/>
          <w:szCs w:val="32"/>
          <w:lang w:eastAsia="zh-CN"/>
        </w:rPr>
        <w:t>股份有限公司</w:t>
      </w:r>
    </w:p>
    <w:p w14:paraId="3BF45561">
      <w:pPr>
        <w:spacing w:line="360" w:lineRule="auto"/>
        <w:jc w:val="center"/>
        <w:outlineLvl w:val="0"/>
        <w:rPr>
          <w:rFonts w:ascii="Arial Narrow" w:hAnsi="Arial Narrow" w:eastAsia="宋体" w:cs="宋体"/>
          <w:sz w:val="32"/>
          <w:szCs w:val="32"/>
          <w:lang w:eastAsia="zh-CN"/>
        </w:rPr>
      </w:pPr>
      <w:r>
        <w:rPr>
          <w:rFonts w:ascii="Arial Narrow" w:hAnsi="Arial Narrow" w:eastAsia="宋体" w:cs="宋体"/>
          <w:b/>
          <w:bCs/>
          <w:spacing w:val="-3"/>
          <w:sz w:val="32"/>
          <w:szCs w:val="32"/>
          <w:lang w:eastAsia="zh-CN"/>
        </w:rPr>
        <w:t>投资者关系活动记录表</w:t>
      </w:r>
    </w:p>
    <w:p w14:paraId="5FC47820">
      <w:pPr>
        <w:spacing w:line="69" w:lineRule="exact"/>
        <w:rPr>
          <w:lang w:eastAsia="zh-CN"/>
        </w:rPr>
      </w:pPr>
    </w:p>
    <w:tbl>
      <w:tblPr>
        <w:tblStyle w:val="6"/>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55"/>
        <w:gridCol w:w="2361"/>
        <w:gridCol w:w="4124"/>
      </w:tblGrid>
      <w:tr w14:paraId="34F26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1112" w:type="pct"/>
            <w:vAlign w:val="center"/>
          </w:tcPr>
          <w:p w14:paraId="6FB3F4D7">
            <w:pPr>
              <w:pStyle w:val="7"/>
              <w:spacing w:before="120" w:line="347" w:lineRule="auto"/>
              <w:ind w:left="118" w:right="109" w:firstLine="1"/>
              <w:rPr>
                <w:rFonts w:hint="eastAsia"/>
              </w:rPr>
            </w:pPr>
            <w:r>
              <w:rPr>
                <w:spacing w:val="27"/>
              </w:rPr>
              <w:t>投资者关系活</w:t>
            </w:r>
            <w:r>
              <w:rPr>
                <w:spacing w:val="4"/>
              </w:rPr>
              <w:t xml:space="preserve"> </w:t>
            </w:r>
            <w:r>
              <w:rPr>
                <w:spacing w:val="-3"/>
              </w:rPr>
              <w:t>动类别</w:t>
            </w:r>
          </w:p>
        </w:tc>
        <w:tc>
          <w:tcPr>
            <w:tcW w:w="1415" w:type="pct"/>
            <w:tcBorders>
              <w:right w:val="nil"/>
            </w:tcBorders>
          </w:tcPr>
          <w:p w14:paraId="678B346F">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5"/>
                <w:lang w:eastAsia="zh-CN"/>
              </w:rPr>
              <w:t>特定对象调研</w:t>
            </w:r>
          </w:p>
          <w:p w14:paraId="3305A24A">
            <w:pPr>
              <w:pStyle w:val="7"/>
              <w:spacing w:before="120" w:line="219" w:lineRule="auto"/>
              <w:ind w:left="137"/>
              <w:rPr>
                <w:rFonts w:hint="eastAsia"/>
                <w:lang w:eastAsia="zh-CN"/>
              </w:rPr>
            </w:pPr>
            <w:r>
              <w:rPr>
                <w:spacing w:val="-6"/>
                <w:lang w:eastAsia="zh-CN"/>
              </w:rPr>
              <w:t>□媒体采访</w:t>
            </w:r>
          </w:p>
          <w:p w14:paraId="5D0AE185">
            <w:pPr>
              <w:pStyle w:val="7"/>
              <w:spacing w:before="120" w:line="219" w:lineRule="auto"/>
              <w:ind w:left="137"/>
              <w:rPr>
                <w:rFonts w:hint="eastAsia"/>
                <w:lang w:eastAsia="zh-CN"/>
              </w:rPr>
            </w:pPr>
            <w:r>
              <w:rPr>
                <w:spacing w:val="-5"/>
                <w:lang w:eastAsia="zh-CN"/>
              </w:rPr>
              <w:t>□新闻发布会</w:t>
            </w:r>
          </w:p>
          <w:p w14:paraId="64303902">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6"/>
                <w:lang w:eastAsia="zh-CN"/>
              </w:rPr>
              <w:t>现场参观</w:t>
            </w:r>
          </w:p>
          <w:p w14:paraId="1FF93C5A">
            <w:pPr>
              <w:pStyle w:val="7"/>
              <w:spacing w:before="120" w:line="220" w:lineRule="auto"/>
              <w:ind w:left="137"/>
              <w:rPr>
                <w:rFonts w:hint="eastAsia"/>
                <w:lang w:eastAsia="zh-CN"/>
              </w:rPr>
            </w:pPr>
            <w:r>
              <w:rPr>
                <w:rFonts w:ascii="Segoe UI Symbol" w:hAnsi="Segoe UI Symbol" w:cs="Segoe UI Symbol"/>
                <w:spacing w:val="-5"/>
                <w:lang w:eastAsia="zh-CN"/>
              </w:rPr>
              <w:t>☑</w:t>
            </w:r>
            <w:r>
              <w:rPr>
                <w:spacing w:val="-12"/>
                <w:lang w:eastAsia="zh-CN"/>
              </w:rPr>
              <w:t>其他</w:t>
            </w:r>
            <w:r>
              <w:rPr>
                <w:u w:val="single"/>
                <w:lang w:eastAsia="zh-CN"/>
              </w:rPr>
              <w:t xml:space="preserve">  </w:t>
            </w:r>
            <w:r>
              <w:rPr>
                <w:rFonts w:hint="eastAsia"/>
                <w:u w:val="single"/>
                <w:lang w:eastAsia="zh-CN"/>
              </w:rPr>
              <w:t>线上会议</w:t>
            </w:r>
            <w:r>
              <w:rPr>
                <w:u w:val="single"/>
                <w:lang w:eastAsia="zh-CN"/>
              </w:rPr>
              <w:t xml:space="preserve">          </w:t>
            </w:r>
          </w:p>
        </w:tc>
        <w:tc>
          <w:tcPr>
            <w:tcW w:w="2472" w:type="pct"/>
            <w:tcBorders>
              <w:left w:val="nil"/>
            </w:tcBorders>
          </w:tcPr>
          <w:p w14:paraId="708607C5">
            <w:pPr>
              <w:pStyle w:val="7"/>
              <w:spacing w:before="120" w:line="219" w:lineRule="auto"/>
              <w:ind w:left="197"/>
              <w:rPr>
                <w:rFonts w:hint="eastAsia"/>
                <w:lang w:eastAsia="zh-CN"/>
              </w:rPr>
            </w:pPr>
            <w:r>
              <w:rPr>
                <w:rFonts w:ascii="Segoe UI Symbol" w:hAnsi="Segoe UI Symbol" w:cs="Segoe UI Symbol"/>
                <w:spacing w:val="-5"/>
                <w:lang w:eastAsia="zh-CN"/>
              </w:rPr>
              <w:t>☑</w:t>
            </w:r>
            <w:r>
              <w:rPr>
                <w:spacing w:val="-5"/>
                <w:lang w:eastAsia="zh-CN"/>
              </w:rPr>
              <w:t>分析师会议</w:t>
            </w:r>
          </w:p>
          <w:p w14:paraId="02CFAE67">
            <w:pPr>
              <w:pStyle w:val="7"/>
              <w:spacing w:before="120" w:line="219" w:lineRule="auto"/>
              <w:ind w:left="197"/>
              <w:rPr>
                <w:rFonts w:hint="eastAsia"/>
                <w:lang w:eastAsia="zh-CN"/>
              </w:rPr>
            </w:pPr>
            <w:r>
              <w:rPr>
                <w:rFonts w:hint="eastAsia"/>
                <w:spacing w:val="-5"/>
                <w:lang w:eastAsia="zh-CN"/>
              </w:rPr>
              <w:t>□</w:t>
            </w:r>
            <w:r>
              <w:rPr>
                <w:spacing w:val="-6"/>
                <w:lang w:eastAsia="zh-CN"/>
              </w:rPr>
              <w:t>业绩说明会</w:t>
            </w:r>
          </w:p>
          <w:p w14:paraId="78C665DF">
            <w:pPr>
              <w:pStyle w:val="7"/>
              <w:spacing w:before="120" w:line="220" w:lineRule="auto"/>
              <w:ind w:left="197"/>
              <w:rPr>
                <w:rFonts w:hint="eastAsia"/>
              </w:rPr>
            </w:pPr>
            <w:r>
              <w:rPr>
                <w:rFonts w:ascii="Segoe UI Symbol" w:hAnsi="Segoe UI Symbol" w:cs="Segoe UI Symbol"/>
                <w:spacing w:val="-6"/>
                <w:lang w:eastAsia="zh-CN"/>
              </w:rPr>
              <w:t>☑</w:t>
            </w:r>
            <w:r>
              <w:rPr>
                <w:spacing w:val="-6"/>
              </w:rPr>
              <w:t>路演活动</w:t>
            </w:r>
          </w:p>
        </w:tc>
      </w:tr>
      <w:tr w14:paraId="5354A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1112" w:type="pct"/>
            <w:vAlign w:val="center"/>
          </w:tcPr>
          <w:p w14:paraId="380D5221">
            <w:pPr>
              <w:pStyle w:val="7"/>
              <w:spacing w:before="120" w:line="347" w:lineRule="auto"/>
              <w:ind w:left="116" w:right="109" w:firstLine="2"/>
              <w:rPr>
                <w:rFonts w:hint="eastAsia"/>
                <w:lang w:eastAsia="zh-CN"/>
              </w:rPr>
            </w:pPr>
            <w:r>
              <w:rPr>
                <w:spacing w:val="28"/>
                <w:lang w:eastAsia="zh-CN"/>
              </w:rPr>
              <w:t>参与单位名称</w:t>
            </w:r>
            <w:r>
              <w:rPr>
                <w:lang w:eastAsia="zh-CN"/>
              </w:rPr>
              <w:t xml:space="preserve"> </w:t>
            </w:r>
            <w:r>
              <w:rPr>
                <w:spacing w:val="-2"/>
                <w:lang w:eastAsia="zh-CN"/>
              </w:rPr>
              <w:t>及人员姓名</w:t>
            </w:r>
          </w:p>
        </w:tc>
        <w:tc>
          <w:tcPr>
            <w:tcW w:w="3887" w:type="pct"/>
            <w:gridSpan w:val="2"/>
          </w:tcPr>
          <w:p w14:paraId="37FFC9C5">
            <w:pPr>
              <w:pStyle w:val="7"/>
              <w:numPr>
                <w:ilvl w:val="0"/>
                <w:numId w:val="1"/>
              </w:numPr>
              <w:spacing w:before="120" w:line="345" w:lineRule="auto"/>
              <w:ind w:right="23"/>
              <w:jc w:val="both"/>
              <w:rPr>
                <w:rFonts w:hint="eastAsia"/>
                <w:b/>
                <w:bCs/>
                <w:lang w:eastAsia="zh-CN"/>
              </w:rPr>
            </w:pPr>
            <w:r>
              <w:rPr>
                <w:rFonts w:hint="eastAsia"/>
                <w:b/>
                <w:bCs/>
                <w:spacing w:val="-2"/>
                <w:lang w:eastAsia="zh-CN"/>
              </w:rPr>
              <w:t>现场调研</w:t>
            </w:r>
          </w:p>
          <w:p w14:paraId="60708EEC">
            <w:pPr>
              <w:pStyle w:val="7"/>
              <w:spacing w:before="120" w:line="276" w:lineRule="auto"/>
              <w:ind w:left="136" w:right="23" w:firstLine="240" w:firstLineChars="100"/>
              <w:jc w:val="both"/>
              <w:rPr>
                <w:rFonts w:hint="eastAsia"/>
                <w:lang w:eastAsia="zh-CN"/>
              </w:rPr>
            </w:pPr>
            <w:r>
              <w:rPr>
                <w:rFonts w:hint="eastAsia"/>
                <w:lang w:eastAsia="zh-CN"/>
              </w:rPr>
              <w:t>本期公司在成都总部接待的机构有富国基金、睿远基金、国海富兰克林基金、国投证券等。</w:t>
            </w:r>
          </w:p>
          <w:p w14:paraId="1AAF9F9B">
            <w:pPr>
              <w:pStyle w:val="7"/>
              <w:numPr>
                <w:ilvl w:val="0"/>
                <w:numId w:val="1"/>
              </w:numPr>
              <w:spacing w:before="120" w:line="345" w:lineRule="auto"/>
              <w:ind w:right="23"/>
              <w:jc w:val="both"/>
              <w:rPr>
                <w:rFonts w:hint="eastAsia"/>
                <w:b/>
                <w:bCs/>
                <w:lang w:eastAsia="zh-CN"/>
              </w:rPr>
            </w:pPr>
            <w:r>
              <w:rPr>
                <w:rFonts w:hint="eastAsia"/>
                <w:b/>
                <w:bCs/>
                <w:spacing w:val="-2"/>
                <w:lang w:eastAsia="zh-CN"/>
              </w:rPr>
              <w:t>线上会议</w:t>
            </w:r>
          </w:p>
          <w:p w14:paraId="75DA32E5">
            <w:pPr>
              <w:pStyle w:val="7"/>
              <w:spacing w:before="120" w:line="276" w:lineRule="auto"/>
              <w:ind w:left="136" w:right="23" w:firstLine="240" w:firstLineChars="100"/>
              <w:jc w:val="both"/>
              <w:rPr>
                <w:rFonts w:hint="eastAsia"/>
                <w:lang w:eastAsia="zh-CN"/>
              </w:rPr>
            </w:pPr>
            <w:r>
              <w:rPr>
                <w:rFonts w:hint="eastAsia"/>
                <w:lang w:eastAsia="zh-CN"/>
              </w:rPr>
              <w:t>本期公司与华安基金、聚鸣投资、南方基金、大成基金、招商基金、工银瑞信基金、长城基金、万家基金、Dawn Capital等机构进行了线上交流。</w:t>
            </w:r>
          </w:p>
          <w:p w14:paraId="7CE4BA47">
            <w:pPr>
              <w:pStyle w:val="7"/>
              <w:numPr>
                <w:ilvl w:val="0"/>
                <w:numId w:val="1"/>
              </w:numPr>
              <w:spacing w:before="120" w:line="345" w:lineRule="auto"/>
              <w:ind w:right="23"/>
              <w:jc w:val="both"/>
              <w:rPr>
                <w:rFonts w:hint="eastAsia"/>
                <w:b/>
                <w:bCs/>
                <w:spacing w:val="-2"/>
                <w:lang w:eastAsia="zh-CN"/>
              </w:rPr>
            </w:pPr>
            <w:r>
              <w:rPr>
                <w:rFonts w:hint="eastAsia"/>
                <w:b/>
                <w:bCs/>
                <w:spacing w:val="-2"/>
                <w:lang w:eastAsia="zh-CN"/>
              </w:rPr>
              <w:t>策略会</w:t>
            </w:r>
          </w:p>
          <w:p w14:paraId="2C169B79">
            <w:pPr>
              <w:pStyle w:val="7"/>
              <w:spacing w:before="120" w:line="276" w:lineRule="auto"/>
              <w:ind w:left="136" w:right="23" w:firstLine="240" w:firstLineChars="100"/>
              <w:jc w:val="both"/>
              <w:rPr>
                <w:rFonts w:hint="eastAsia"/>
                <w:lang w:eastAsia="zh-CN"/>
              </w:rPr>
            </w:pPr>
            <w:r>
              <w:rPr>
                <w:rFonts w:hint="eastAsia"/>
                <w:lang w:eastAsia="zh-CN"/>
              </w:rPr>
              <w:t>本期公司参加了东吴证券、财通证券、中信建投证券、中信证券、兴业证券、国海证券、大和证券等券商研究所组织的策略会，参加策略会并与公司交流的投资机构有中欧基金、华夏基金、易方达基金、景顺长城基金、博时基金、太平养老、广发基金、泰康基金、农银汇理基金、国投瑞银基金、汇丰晋信基金、Polymer Capital等投资机构</w:t>
            </w:r>
          </w:p>
          <w:p w14:paraId="348A25C8">
            <w:pPr>
              <w:pStyle w:val="7"/>
              <w:numPr>
                <w:ilvl w:val="0"/>
                <w:numId w:val="1"/>
              </w:numPr>
              <w:spacing w:before="120" w:line="345" w:lineRule="auto"/>
              <w:ind w:right="23"/>
              <w:jc w:val="both"/>
              <w:rPr>
                <w:rFonts w:hint="eastAsia"/>
                <w:b/>
                <w:bCs/>
                <w:spacing w:val="-2"/>
                <w:lang w:eastAsia="zh-CN"/>
              </w:rPr>
            </w:pPr>
            <w:r>
              <w:rPr>
                <w:rFonts w:hint="eastAsia"/>
                <w:lang w:eastAsia="zh-CN"/>
              </w:rPr>
              <w:tab/>
            </w:r>
            <w:r>
              <w:rPr>
                <w:rFonts w:hint="eastAsia"/>
                <w:b/>
                <w:bCs/>
                <w:spacing w:val="-2"/>
                <w:lang w:eastAsia="zh-CN"/>
              </w:rPr>
              <w:t>反路演</w:t>
            </w:r>
          </w:p>
          <w:p w14:paraId="1CAA7DE2">
            <w:pPr>
              <w:pStyle w:val="7"/>
              <w:spacing w:before="120" w:line="276" w:lineRule="auto"/>
              <w:ind w:left="136" w:right="23" w:firstLine="240" w:firstLineChars="100"/>
              <w:jc w:val="both"/>
              <w:rPr>
                <w:rFonts w:hint="eastAsia"/>
                <w:lang w:eastAsia="zh-CN"/>
              </w:rPr>
            </w:pPr>
            <w:r>
              <w:rPr>
                <w:rFonts w:hint="eastAsia"/>
                <w:lang w:eastAsia="zh-CN"/>
              </w:rPr>
              <w:t>本期公司反路演的投资机构有摩根基金、永赢基金、国泰基金、淡水泉基金、平安基金、大家资产、华泰资产等</w:t>
            </w:r>
          </w:p>
        </w:tc>
      </w:tr>
      <w:tr w14:paraId="6117B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112" w:type="pct"/>
          </w:tcPr>
          <w:p w14:paraId="3F9120B9">
            <w:pPr>
              <w:pStyle w:val="7"/>
              <w:spacing w:before="120" w:line="222" w:lineRule="auto"/>
              <w:ind w:left="128"/>
              <w:rPr>
                <w:rFonts w:hint="eastAsia"/>
              </w:rPr>
            </w:pPr>
            <w:r>
              <w:rPr>
                <w:spacing w:val="-6"/>
              </w:rPr>
              <w:t>时间</w:t>
            </w:r>
          </w:p>
        </w:tc>
        <w:tc>
          <w:tcPr>
            <w:tcW w:w="3887" w:type="pct"/>
            <w:gridSpan w:val="2"/>
          </w:tcPr>
          <w:p w14:paraId="34E47FBD">
            <w:pPr>
              <w:pStyle w:val="7"/>
              <w:spacing w:before="120" w:line="220" w:lineRule="auto"/>
              <w:ind w:left="116"/>
              <w:rPr>
                <w:rFonts w:hint="eastAsia"/>
                <w:lang w:eastAsia="zh-CN"/>
              </w:rPr>
            </w:pPr>
            <w:r>
              <w:rPr>
                <w:rFonts w:hint="eastAsia"/>
                <w:spacing w:val="-7"/>
              </w:rPr>
              <w:t>2024</w:t>
            </w:r>
            <w:r>
              <w:rPr>
                <w:rFonts w:hint="eastAsia"/>
                <w:spacing w:val="-7"/>
                <w:lang w:eastAsia="zh-CN"/>
              </w:rPr>
              <w:t>年11</w:t>
            </w:r>
            <w:r>
              <w:rPr>
                <w:rFonts w:hint="eastAsia"/>
                <w:spacing w:val="-7"/>
              </w:rPr>
              <w:t>月</w:t>
            </w:r>
            <w:r>
              <w:rPr>
                <w:rFonts w:hint="eastAsia"/>
                <w:spacing w:val="-7"/>
                <w:lang w:eastAsia="zh-CN"/>
              </w:rPr>
              <w:t>1</w:t>
            </w:r>
            <w:r>
              <w:rPr>
                <w:rFonts w:hint="eastAsia"/>
                <w:spacing w:val="-7"/>
              </w:rPr>
              <w:t>日</w:t>
            </w:r>
            <w:r>
              <w:rPr>
                <w:rFonts w:hint="eastAsia"/>
                <w:spacing w:val="-7"/>
                <w:lang w:eastAsia="zh-CN"/>
              </w:rPr>
              <w:t>-11月30日</w:t>
            </w:r>
          </w:p>
        </w:tc>
      </w:tr>
      <w:tr w14:paraId="2F64B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112" w:type="pct"/>
          </w:tcPr>
          <w:p w14:paraId="52AB4EB6">
            <w:pPr>
              <w:pStyle w:val="7"/>
              <w:spacing w:before="120" w:line="224" w:lineRule="auto"/>
              <w:ind w:left="117"/>
              <w:rPr>
                <w:rFonts w:hint="eastAsia"/>
              </w:rPr>
            </w:pPr>
            <w:r>
              <w:rPr>
                <w:spacing w:val="-3"/>
              </w:rPr>
              <w:t>地点</w:t>
            </w:r>
          </w:p>
        </w:tc>
        <w:tc>
          <w:tcPr>
            <w:tcW w:w="3887" w:type="pct"/>
            <w:gridSpan w:val="2"/>
          </w:tcPr>
          <w:p w14:paraId="512B4144">
            <w:pPr>
              <w:pStyle w:val="7"/>
              <w:spacing w:before="120" w:line="220" w:lineRule="auto"/>
              <w:ind w:left="128"/>
              <w:rPr>
                <w:rFonts w:hint="eastAsia"/>
                <w:lang w:eastAsia="zh-CN"/>
              </w:rPr>
            </w:pPr>
            <w:r>
              <w:rPr>
                <w:rFonts w:hint="eastAsia"/>
                <w:spacing w:val="-4"/>
                <w:lang w:eastAsia="zh-CN"/>
              </w:rPr>
              <w:t>通威股份成都</w:t>
            </w:r>
            <w:r>
              <w:rPr>
                <w:spacing w:val="-4"/>
                <w:lang w:eastAsia="zh-CN"/>
              </w:rPr>
              <w:t>总部</w:t>
            </w:r>
            <w:r>
              <w:rPr>
                <w:rFonts w:hint="eastAsia"/>
                <w:spacing w:val="-4"/>
                <w:lang w:eastAsia="zh-CN"/>
              </w:rPr>
              <w:t>、北京、上海、深圳、香港</w:t>
            </w:r>
          </w:p>
        </w:tc>
      </w:tr>
      <w:tr w14:paraId="1770A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5" w:hRule="atLeast"/>
        </w:trPr>
        <w:tc>
          <w:tcPr>
            <w:tcW w:w="1112" w:type="pct"/>
            <w:vAlign w:val="center"/>
          </w:tcPr>
          <w:p w14:paraId="4A21E8E1">
            <w:pPr>
              <w:pStyle w:val="7"/>
              <w:spacing w:before="120" w:line="347" w:lineRule="auto"/>
              <w:ind w:left="119" w:right="109"/>
              <w:rPr>
                <w:rFonts w:hint="eastAsia"/>
                <w:lang w:eastAsia="zh-CN"/>
              </w:rPr>
            </w:pPr>
            <w:r>
              <w:rPr>
                <w:spacing w:val="28"/>
                <w:lang w:eastAsia="zh-CN"/>
              </w:rPr>
              <w:t>上市公司接待</w:t>
            </w:r>
            <w:r>
              <w:rPr>
                <w:lang w:eastAsia="zh-CN"/>
              </w:rPr>
              <w:t xml:space="preserve"> </w:t>
            </w:r>
            <w:r>
              <w:rPr>
                <w:spacing w:val="-3"/>
                <w:lang w:eastAsia="zh-CN"/>
              </w:rPr>
              <w:t>人员姓名</w:t>
            </w:r>
          </w:p>
        </w:tc>
        <w:tc>
          <w:tcPr>
            <w:tcW w:w="3887" w:type="pct"/>
            <w:gridSpan w:val="2"/>
          </w:tcPr>
          <w:p w14:paraId="23878187">
            <w:pPr>
              <w:pStyle w:val="7"/>
              <w:spacing w:before="120" w:line="220" w:lineRule="auto"/>
              <w:ind w:left="128"/>
              <w:rPr>
                <w:rFonts w:hint="eastAsia"/>
                <w:spacing w:val="-4"/>
                <w:lang w:eastAsia="zh-CN"/>
              </w:rPr>
            </w:pPr>
            <w:r>
              <w:rPr>
                <w:rFonts w:hint="eastAsia"/>
                <w:lang w:eastAsia="zh-CN"/>
              </w:rPr>
              <w:t>董事会秘书 严轲</w:t>
            </w:r>
          </w:p>
          <w:p w14:paraId="47140E62">
            <w:pPr>
              <w:pStyle w:val="7"/>
              <w:spacing w:before="120" w:line="220" w:lineRule="auto"/>
              <w:ind w:left="128"/>
              <w:rPr>
                <w:rFonts w:hint="eastAsia"/>
                <w:spacing w:val="-4"/>
                <w:lang w:eastAsia="zh-CN"/>
              </w:rPr>
            </w:pPr>
            <w:r>
              <w:rPr>
                <w:rFonts w:hint="eastAsia"/>
                <w:spacing w:val="-4"/>
                <w:lang w:eastAsia="zh-CN"/>
              </w:rPr>
              <w:t>投资者关系经理 钟秋实</w:t>
            </w:r>
          </w:p>
          <w:p w14:paraId="566E7EC8">
            <w:pPr>
              <w:pStyle w:val="7"/>
              <w:spacing w:before="120" w:line="220" w:lineRule="auto"/>
              <w:ind w:left="128"/>
              <w:rPr>
                <w:rFonts w:hint="eastAsia"/>
                <w:lang w:eastAsia="zh-CN"/>
              </w:rPr>
            </w:pPr>
            <w:r>
              <w:rPr>
                <w:rFonts w:hint="eastAsia"/>
                <w:spacing w:val="-4"/>
                <w:lang w:eastAsia="zh-CN"/>
              </w:rPr>
              <w:t>投资者关系经理 孙书恒</w:t>
            </w:r>
          </w:p>
        </w:tc>
      </w:tr>
      <w:tr w14:paraId="73E8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0" w:hRule="atLeast"/>
        </w:trPr>
        <w:tc>
          <w:tcPr>
            <w:tcW w:w="1112" w:type="pct"/>
            <w:vAlign w:val="center"/>
          </w:tcPr>
          <w:p w14:paraId="09055E1D">
            <w:pPr>
              <w:pStyle w:val="7"/>
              <w:spacing w:before="120" w:line="353" w:lineRule="auto"/>
              <w:ind w:left="118" w:right="109" w:firstLine="1"/>
              <w:jc w:val="both"/>
              <w:rPr>
                <w:rFonts w:hint="eastAsia"/>
                <w:lang w:eastAsia="zh-CN"/>
              </w:rPr>
            </w:pPr>
            <w:r>
              <w:rPr>
                <w:spacing w:val="27"/>
                <w:lang w:eastAsia="zh-CN"/>
              </w:rPr>
              <w:t>投资者关系活</w:t>
            </w:r>
            <w:r>
              <w:rPr>
                <w:spacing w:val="4"/>
                <w:lang w:eastAsia="zh-CN"/>
              </w:rPr>
              <w:t xml:space="preserve"> </w:t>
            </w:r>
            <w:r>
              <w:rPr>
                <w:spacing w:val="28"/>
                <w:lang w:eastAsia="zh-CN"/>
              </w:rPr>
              <w:t>动主要内容介</w:t>
            </w:r>
            <w:r>
              <w:rPr>
                <w:lang w:eastAsia="zh-CN"/>
              </w:rPr>
              <w:t xml:space="preserve"> 绍</w:t>
            </w:r>
          </w:p>
        </w:tc>
        <w:tc>
          <w:tcPr>
            <w:tcW w:w="3887" w:type="pct"/>
            <w:gridSpan w:val="2"/>
          </w:tcPr>
          <w:p w14:paraId="158C71CD">
            <w:pPr>
              <w:pStyle w:val="7"/>
              <w:spacing w:before="120" w:beforeLines="50" w:line="329" w:lineRule="auto"/>
              <w:ind w:left="618" w:right="108"/>
              <w:jc w:val="both"/>
              <w:rPr>
                <w:rFonts w:hint="eastAsia"/>
                <w:b/>
                <w:bCs/>
                <w:lang w:eastAsia="zh-CN"/>
              </w:rPr>
            </w:pPr>
            <w:r>
              <w:rPr>
                <w:rFonts w:hint="eastAsia"/>
                <w:b/>
                <w:bCs/>
                <w:lang w:eastAsia="zh-CN"/>
              </w:rPr>
              <w:t>1、请问公司包头20万吨多晶硅新项目爬产进展？</w:t>
            </w:r>
          </w:p>
          <w:p w14:paraId="5A4BA2CA">
            <w:pPr>
              <w:pStyle w:val="7"/>
              <w:spacing w:before="120" w:line="329" w:lineRule="auto"/>
              <w:ind w:left="113" w:right="105" w:firstLine="503"/>
              <w:jc w:val="both"/>
              <w:rPr>
                <w:rFonts w:hint="eastAsia"/>
                <w:lang w:eastAsia="zh-CN"/>
              </w:rPr>
            </w:pPr>
            <w:r>
              <w:rPr>
                <w:rFonts w:hint="eastAsia"/>
                <w:lang w:eastAsia="zh-CN"/>
              </w:rPr>
              <w:t>答：公司包头20万吨高纯晶硅项目在10月开始试运行，首炉产品质量全面达标。在11月最后一周，该项目已完成爬坡，实现节点满产。</w:t>
            </w:r>
          </w:p>
          <w:p w14:paraId="2A226745">
            <w:pPr>
              <w:pStyle w:val="7"/>
              <w:numPr>
                <w:ilvl w:val="0"/>
                <w:numId w:val="2"/>
              </w:numPr>
              <w:spacing w:before="120" w:beforeLines="50" w:line="329" w:lineRule="auto"/>
              <w:ind w:left="113" w:right="108" w:firstLine="505"/>
              <w:jc w:val="both"/>
              <w:rPr>
                <w:rFonts w:hint="eastAsia"/>
                <w:b/>
                <w:bCs/>
                <w:lang w:eastAsia="zh-CN"/>
              </w:rPr>
            </w:pPr>
            <w:r>
              <w:rPr>
                <w:rFonts w:hint="eastAsia"/>
                <w:b/>
                <w:bCs/>
                <w:lang w:eastAsia="zh-CN"/>
              </w:rPr>
              <w:t>请问公司如何判断多晶硅价格走势？价格反弹需要什么条件？</w:t>
            </w:r>
          </w:p>
          <w:p w14:paraId="11C4D12E">
            <w:pPr>
              <w:pStyle w:val="7"/>
              <w:spacing w:before="120" w:line="329" w:lineRule="auto"/>
              <w:ind w:left="113" w:right="105" w:firstLine="503"/>
              <w:jc w:val="both"/>
              <w:rPr>
                <w:rFonts w:hint="eastAsia"/>
                <w:lang w:eastAsia="zh-CN"/>
              </w:rPr>
            </w:pPr>
            <w:r>
              <w:rPr>
                <w:rFonts w:hint="eastAsia"/>
                <w:lang w:eastAsia="zh-CN"/>
              </w:rPr>
              <w:t>答：短期基本面来看，下游硅片环节在手多晶硅库存充足，排产环比下滑，多晶硅市场整体成交情绪较为清淡，但考虑到多晶硅环节价格已经触底，价格向下空间有限，短期有望维稳运行。向后展望，多晶硅环节进入去库阶段将是价格反弹的必要条件之一，行业自律行动也有望加速这一过程，若下游装机需求能在旺季来临时同步提升，多晶硅价格反弹阻力将更小。</w:t>
            </w:r>
          </w:p>
          <w:p w14:paraId="26BD247E">
            <w:pPr>
              <w:pStyle w:val="7"/>
              <w:numPr>
                <w:ilvl w:val="0"/>
                <w:numId w:val="2"/>
              </w:numPr>
              <w:spacing w:before="120" w:line="329" w:lineRule="auto"/>
              <w:ind w:left="113" w:right="105" w:firstLine="503"/>
              <w:jc w:val="both"/>
              <w:rPr>
                <w:rFonts w:hint="eastAsia"/>
                <w:lang w:eastAsia="zh-CN"/>
              </w:rPr>
            </w:pPr>
            <w:r>
              <w:rPr>
                <w:rFonts w:hint="eastAsia"/>
                <w:b/>
                <w:bCs/>
                <w:lang w:eastAsia="zh-CN"/>
              </w:rPr>
              <w:t>关注到部分三方机构统计12月行业多晶硅排产将环比大幅下降，请问公司12月多晶硅排产情况？</w:t>
            </w:r>
          </w:p>
          <w:p w14:paraId="079EC56A">
            <w:pPr>
              <w:pStyle w:val="7"/>
              <w:spacing w:before="120" w:line="329" w:lineRule="auto"/>
              <w:ind w:left="113" w:right="105" w:firstLine="480" w:firstLineChars="200"/>
              <w:jc w:val="both"/>
              <w:rPr>
                <w:rFonts w:hint="eastAsia"/>
                <w:lang w:eastAsia="zh-CN"/>
              </w:rPr>
            </w:pPr>
            <w:r>
              <w:rPr>
                <w:rFonts w:hint="eastAsia"/>
                <w:lang w:eastAsia="zh-CN"/>
              </w:rPr>
              <w:t>答：12月西南地区进入枯水期，电价环比上升，将达到年度高位。考虑到当前多晶硅价格仍在底部盘整，</w:t>
            </w:r>
            <w:r>
              <w:rPr>
                <w:rFonts w:hint="eastAsia"/>
                <w:highlight w:val="none"/>
                <w:lang w:eastAsia="zh-CN"/>
              </w:rPr>
              <w:t>公司正在研究减产方案，</w:t>
            </w:r>
            <w:r>
              <w:rPr>
                <w:rFonts w:hint="eastAsia"/>
                <w:highlight w:val="none"/>
                <w:lang w:val="en-US" w:eastAsia="zh-CN"/>
              </w:rPr>
              <w:t>将根据市场情况动态调整生产安排，并</w:t>
            </w:r>
            <w:r>
              <w:rPr>
                <w:rFonts w:hint="eastAsia"/>
                <w:highlight w:val="none"/>
                <w:lang w:eastAsia="zh-CN"/>
              </w:rPr>
              <w:t>按照最经济的生产组态进行排产。</w:t>
            </w:r>
          </w:p>
          <w:p w14:paraId="4F186E36">
            <w:pPr>
              <w:pStyle w:val="7"/>
              <w:spacing w:before="120" w:beforeLines="50" w:line="329" w:lineRule="auto"/>
              <w:ind w:left="113" w:right="108" w:firstLine="505"/>
              <w:jc w:val="both"/>
              <w:rPr>
                <w:rFonts w:hint="eastAsia"/>
                <w:b/>
                <w:bCs/>
                <w:lang w:eastAsia="zh-CN"/>
              </w:rPr>
            </w:pPr>
            <w:r>
              <w:rPr>
                <w:rFonts w:hint="eastAsia"/>
                <w:b/>
                <w:bCs/>
                <w:lang w:eastAsia="zh-CN"/>
              </w:rPr>
              <w:t>4</w:t>
            </w:r>
            <w:r>
              <w:rPr>
                <w:b/>
                <w:bCs/>
                <w:lang w:eastAsia="zh-CN"/>
              </w:rPr>
              <w:t>、</w:t>
            </w:r>
            <w:r>
              <w:rPr>
                <w:rFonts w:hint="eastAsia"/>
                <w:b/>
                <w:bCs/>
                <w:lang w:eastAsia="zh-CN"/>
              </w:rPr>
              <w:t>请问公司如何看待电池及组件出口退税调整政策？</w:t>
            </w:r>
          </w:p>
          <w:p w14:paraId="5478DEAF">
            <w:pPr>
              <w:pStyle w:val="7"/>
              <w:spacing w:before="120" w:beforeLines="50" w:line="329" w:lineRule="auto"/>
              <w:ind w:left="113" w:right="108" w:firstLine="505"/>
              <w:jc w:val="both"/>
              <w:rPr>
                <w:lang w:eastAsia="zh-CN"/>
              </w:rPr>
            </w:pPr>
            <w:r>
              <w:rPr>
                <w:rFonts w:hint="eastAsia"/>
                <w:lang w:eastAsia="zh-CN"/>
              </w:rPr>
              <w:t>答：根据财政部、税务总局最新下发的《关于调整出口退税政策的公告》，电池、组件出口退税率由13%下调至9%，短期来看虽直接推动电池或组件出口成本增加，但考虑当前产业链非理性的价格，预计该部分成本或由海外客户承担，中长期来看，该政策的出台有望推动出口组件价格上涨，不仅有助于产业链价格修复，也有利于缓解海外部分地区贸易保护带来的压力。</w:t>
            </w:r>
          </w:p>
          <w:p w14:paraId="217A9A89">
            <w:pPr>
              <w:pStyle w:val="7"/>
              <w:spacing w:before="120" w:beforeLines="50" w:line="329" w:lineRule="auto"/>
              <w:ind w:left="113" w:right="108" w:firstLine="505"/>
              <w:jc w:val="both"/>
              <w:rPr>
                <w:rFonts w:hint="eastAsia"/>
                <w:b/>
                <w:bCs/>
                <w:lang w:eastAsia="zh-CN"/>
              </w:rPr>
            </w:pPr>
            <w:r>
              <w:rPr>
                <w:rFonts w:hint="eastAsia"/>
                <w:b/>
                <w:bCs/>
                <w:lang w:eastAsia="zh-CN"/>
              </w:rPr>
              <w:t>5</w:t>
            </w:r>
            <w:r>
              <w:rPr>
                <w:b/>
                <w:bCs/>
                <w:lang w:eastAsia="zh-CN"/>
              </w:rPr>
              <w:t>、</w:t>
            </w:r>
            <w:r>
              <w:rPr>
                <w:rFonts w:hint="eastAsia"/>
                <w:b/>
                <w:bCs/>
                <w:lang w:eastAsia="zh-CN"/>
              </w:rPr>
              <w:t>关注到工信部正式印发《光伏制造行业规范条件（2024年本）》，想请问公司多晶硅综合电耗和太阳能电池生产水耗能否达标？</w:t>
            </w:r>
          </w:p>
          <w:p w14:paraId="54BC737E">
            <w:pPr>
              <w:pStyle w:val="7"/>
              <w:spacing w:before="120" w:line="329" w:lineRule="auto"/>
              <w:ind w:left="113" w:right="105" w:firstLine="503"/>
              <w:jc w:val="both"/>
              <w:rPr>
                <w:rFonts w:hint="eastAsia"/>
                <w:lang w:eastAsia="zh-CN"/>
              </w:rPr>
            </w:pPr>
            <w:r>
              <w:rPr>
                <w:rFonts w:hint="eastAsia"/>
                <w:lang w:eastAsia="zh-CN"/>
              </w:rPr>
              <w:t>答：工信部《光伏制造行业规范条件（2024年本）》文件相比前期征求意见稿在新建及改扩建多晶硅、硅片及电池项目的能耗及水耗要求趋严。其中新建和改扩建多晶硅项目还原电耗需低于40千瓦时/千克，综合电耗需低于53千瓦时/千克。电池新建和改扩建项目水耗需低于360吨/MW。目前公司在产多晶硅项目及太阳能电池项目的电耗和水耗均低于上述指标要求，属于行业先进制造产能。</w:t>
            </w:r>
          </w:p>
          <w:p w14:paraId="7FA915AC">
            <w:pPr>
              <w:pStyle w:val="7"/>
              <w:spacing w:before="120" w:beforeLines="50" w:line="329" w:lineRule="auto"/>
              <w:ind w:left="618" w:right="108"/>
              <w:jc w:val="both"/>
              <w:rPr>
                <w:rFonts w:hint="eastAsia"/>
                <w:b/>
                <w:bCs/>
                <w:lang w:eastAsia="zh-CN"/>
              </w:rPr>
            </w:pPr>
            <w:r>
              <w:rPr>
                <w:rFonts w:hint="eastAsia"/>
                <w:b/>
                <w:bCs/>
                <w:lang w:eastAsia="zh-CN"/>
              </w:rPr>
              <w:t>6、公司如何看待BC技术和HJT技术在未来的发展趋势？是否有新技术量产规划？</w:t>
            </w:r>
          </w:p>
          <w:p w14:paraId="5BADAB17">
            <w:pPr>
              <w:pStyle w:val="7"/>
              <w:spacing w:before="120" w:line="329" w:lineRule="auto"/>
              <w:ind w:left="113" w:right="105" w:firstLine="503"/>
              <w:jc w:val="both"/>
              <w:rPr>
                <w:rFonts w:hint="eastAsia"/>
                <w:spacing w:val="-2"/>
                <w:highlight w:val="yellow"/>
                <w:lang w:eastAsia="zh-CN"/>
              </w:rPr>
            </w:pPr>
            <w:r>
              <w:rPr>
                <w:spacing w:val="-2"/>
                <w:lang w:eastAsia="zh-CN"/>
              </w:rPr>
              <w:t>答：</w:t>
            </w:r>
            <w:r>
              <w:rPr>
                <w:rFonts w:hint="eastAsia"/>
                <w:spacing w:val="-2"/>
                <w:lang w:eastAsia="zh-CN"/>
              </w:rPr>
              <w:t>从历史发展规律来看，电池新技术主要围绕度电成本和可靠性来展开竞争。HJT技术和BC技术各有特点。简单来讲，HJT是比较理想的双面电池技术，而BC是比较完美的单面电池技术，未来也有可能随着应用场景的不断丰富，两种新技术在分布式应用场景和集中式应用场景下各有建树，但目前来看，TOPCon技术更为成熟，也得到了下游客户的广泛认可，我们认为TOPCon技术仍然会是未来较长一段时间里的主流技术。由于新技术的发展和市场认可度也在动态变化</w:t>
            </w:r>
            <w:r>
              <w:rPr>
                <w:rFonts w:hint="eastAsia"/>
                <w:spacing w:val="-2"/>
                <w:highlight w:val="none"/>
                <w:lang w:eastAsia="zh-CN"/>
              </w:rPr>
              <w:t>，</w:t>
            </w:r>
            <w:r>
              <w:rPr>
                <w:rFonts w:hint="eastAsia"/>
                <w:spacing w:val="-2"/>
                <w:highlight w:val="none"/>
                <w:lang w:val="en-US" w:eastAsia="zh-CN"/>
              </w:rPr>
              <w:t>公司也全面布局了各项技术的研发，我们</w:t>
            </w:r>
            <w:r>
              <w:rPr>
                <w:rFonts w:hint="eastAsia"/>
                <w:spacing w:val="-2"/>
                <w:highlight w:val="none"/>
                <w:lang w:eastAsia="zh-CN"/>
              </w:rPr>
              <w:t>会积极</w:t>
            </w:r>
            <w:r>
              <w:rPr>
                <w:rFonts w:hint="eastAsia"/>
                <w:spacing w:val="-2"/>
                <w:highlight w:val="none"/>
                <w:lang w:val="en-US" w:eastAsia="zh-CN"/>
              </w:rPr>
              <w:t>探讨研究</w:t>
            </w:r>
            <w:r>
              <w:rPr>
                <w:rFonts w:hint="eastAsia"/>
                <w:spacing w:val="-2"/>
                <w:highlight w:val="none"/>
                <w:lang w:eastAsia="zh-CN"/>
              </w:rPr>
              <w:t>新技术的量产规划，继续保持公司在研发端和市场端的领先地位。</w:t>
            </w:r>
          </w:p>
          <w:p w14:paraId="7F140E2E">
            <w:pPr>
              <w:pStyle w:val="7"/>
              <w:numPr>
                <w:ilvl w:val="0"/>
                <w:numId w:val="3"/>
              </w:numPr>
              <w:spacing w:before="120" w:line="329" w:lineRule="auto"/>
              <w:ind w:left="113" w:right="105" w:firstLine="503"/>
              <w:jc w:val="both"/>
              <w:rPr>
                <w:rFonts w:hint="eastAsia"/>
                <w:spacing w:val="-2"/>
                <w:lang w:eastAsia="zh-CN"/>
              </w:rPr>
            </w:pPr>
            <w:r>
              <w:rPr>
                <w:rFonts w:hint="eastAsia"/>
                <w:b/>
                <w:bCs/>
                <w:lang w:eastAsia="zh-CN"/>
              </w:rPr>
              <w:t>上月，光伏行业协会通告组件最低成本价0.68，低于该价格涉嫌违法，公司目前执行价格是多少，行业内卷的形势是否有所好转？</w:t>
            </w:r>
          </w:p>
          <w:p w14:paraId="7B725C91">
            <w:pPr>
              <w:pStyle w:val="7"/>
              <w:spacing w:before="120" w:line="329" w:lineRule="auto"/>
              <w:ind w:left="113" w:right="105" w:firstLine="472" w:firstLineChars="200"/>
              <w:jc w:val="both"/>
              <w:rPr>
                <w:rFonts w:hint="eastAsia"/>
                <w:spacing w:val="-2"/>
                <w:lang w:eastAsia="zh-CN"/>
              </w:rPr>
            </w:pPr>
            <w:r>
              <w:rPr>
                <w:spacing w:val="-2"/>
                <w:lang w:eastAsia="zh-CN"/>
              </w:rPr>
              <w:t>答：</w:t>
            </w:r>
            <w:r>
              <w:rPr>
                <w:rFonts w:hint="eastAsia"/>
                <w:spacing w:val="-2"/>
                <w:lang w:eastAsia="zh-CN"/>
              </w:rPr>
              <w:t>近期不同组件企业招投标中标以及执行价格有所差异，但国内地面电站招标整体报价均稳定在0.68元/W以上，没有出现更低的中标价格。 11月上旬，光伏行业协会又公布，当前在各环节不计折旧，硅料、硅片、电池片环节不含增值税的情况下，最终组件含税成本为0.69元/W。年内报价持续下跌的趋势已基本确定结束，短期组件报价是否能持续上涨具有较多不确定性，行业自律以及可能的政策等多项改善性条件均会产生影响。</w:t>
            </w:r>
          </w:p>
          <w:p w14:paraId="5E61ED0F">
            <w:pPr>
              <w:pStyle w:val="7"/>
              <w:numPr>
                <w:ilvl w:val="0"/>
                <w:numId w:val="3"/>
              </w:numPr>
              <w:spacing w:before="120" w:line="329" w:lineRule="auto"/>
              <w:ind w:left="113" w:right="105" w:firstLine="503"/>
              <w:jc w:val="both"/>
              <w:rPr>
                <w:rFonts w:hint="eastAsia"/>
                <w:spacing w:val="-2"/>
                <w:lang w:eastAsia="zh-CN"/>
              </w:rPr>
            </w:pPr>
            <w:r>
              <w:rPr>
                <w:rFonts w:hint="eastAsia"/>
                <w:b/>
                <w:bCs/>
                <w:lang w:eastAsia="zh-CN"/>
              </w:rPr>
              <w:t>公司明年的硅料、电池和组件的出货目标是多少？</w:t>
            </w:r>
          </w:p>
          <w:p w14:paraId="5D219F31">
            <w:pPr>
              <w:pStyle w:val="7"/>
              <w:spacing w:before="120" w:line="329" w:lineRule="auto"/>
              <w:ind w:left="113" w:right="105" w:firstLine="472" w:firstLineChars="200"/>
              <w:jc w:val="both"/>
              <w:rPr>
                <w:rFonts w:hint="eastAsia"/>
                <w:spacing w:val="-2"/>
                <w:lang w:eastAsia="zh-CN"/>
              </w:rPr>
            </w:pPr>
            <w:r>
              <w:rPr>
                <w:spacing w:val="-2"/>
                <w:lang w:eastAsia="zh-CN"/>
              </w:rPr>
              <w:t>答：</w:t>
            </w:r>
            <w:r>
              <w:rPr>
                <w:rFonts w:hint="eastAsia"/>
                <w:spacing w:val="-2"/>
                <w:lang w:eastAsia="zh-CN"/>
              </w:rPr>
              <w:t>目前光伏行业依然竞争激烈，短期需求受国内及海外各个国家和地区投资意愿</w:t>
            </w:r>
            <w:bookmarkStart w:id="0" w:name="_GoBack"/>
            <w:bookmarkEnd w:id="0"/>
            <w:r>
              <w:rPr>
                <w:rFonts w:hint="eastAsia"/>
                <w:spacing w:val="-2"/>
                <w:lang w:eastAsia="zh-CN"/>
              </w:rPr>
              <w:t>、消纳水平以及宏观经济等诸多因素的影响，公司2025年各环节出货目标会根据内部情况及外部市场因素综合考虑制定，预计在年报披露时会有更清晰的指引。</w:t>
            </w:r>
          </w:p>
          <w:p w14:paraId="510001F7">
            <w:pPr>
              <w:pStyle w:val="7"/>
              <w:numPr>
                <w:ilvl w:val="0"/>
                <w:numId w:val="3"/>
              </w:numPr>
              <w:spacing w:before="120" w:line="329" w:lineRule="auto"/>
              <w:ind w:left="113" w:right="105" w:firstLine="503"/>
              <w:jc w:val="both"/>
              <w:rPr>
                <w:rFonts w:hint="eastAsia"/>
                <w:spacing w:val="-2"/>
                <w:lang w:eastAsia="zh-CN"/>
              </w:rPr>
            </w:pPr>
            <w:r>
              <w:rPr>
                <w:rFonts w:hint="eastAsia"/>
                <w:b/>
                <w:bCs/>
                <w:lang w:eastAsia="zh-CN"/>
              </w:rPr>
              <w:t>光伏行业内卷严重，是供需矛盾最严重的代表性行业之一，未来会有哪些潜在的政策或自律性方向来引导行业走上正常化的健康发展？</w:t>
            </w:r>
          </w:p>
          <w:p w14:paraId="4B3603CB">
            <w:pPr>
              <w:pStyle w:val="7"/>
              <w:spacing w:before="120" w:line="329" w:lineRule="auto"/>
              <w:ind w:left="113" w:right="105" w:firstLine="472" w:firstLineChars="200"/>
              <w:jc w:val="both"/>
              <w:rPr>
                <w:rFonts w:hint="eastAsia"/>
                <w:spacing w:val="-2"/>
                <w:lang w:eastAsia="zh-CN"/>
              </w:rPr>
            </w:pPr>
            <w:r>
              <w:rPr>
                <w:spacing w:val="-2"/>
                <w:lang w:eastAsia="zh-CN"/>
              </w:rPr>
              <w:t>答：</w:t>
            </w:r>
            <w:r>
              <w:rPr>
                <w:rFonts w:hint="eastAsia"/>
                <w:lang w:eastAsia="zh-CN"/>
              </w:rPr>
              <w:t>由于行业产能出现阶段性供过于求的现象较为明显，近两个月内包括光伏行业协会在内的相关方对反内卷问题组织过多次会议，切实了解行业真实处境并发出了一些自律性呼吁，积极的因素正在逐步累积。我们认为在鼓励创新基调不变的情况下，行业有望逐步结束内卷，并协同走上更为健康的发展道路。</w:t>
            </w:r>
          </w:p>
          <w:p w14:paraId="2670A1D6">
            <w:pPr>
              <w:pStyle w:val="10"/>
              <w:numPr>
                <w:ilvl w:val="0"/>
                <w:numId w:val="3"/>
              </w:numPr>
              <w:spacing w:line="360" w:lineRule="auto"/>
              <w:ind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公司近期发布了润阳收购事项的进展公告，该项收购是否与开始时相比发生了重大变化？</w:t>
            </w:r>
          </w:p>
          <w:p w14:paraId="4CC55FF2">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2024年8月14日，公司披露《通威股份有限公司关于与江苏润阳新能源科技股份有限公司及相关方签署增资意向性协议的公告》（公告编号：2024-064），详情请参见公告。如有确定进展或变化，公司将及时披露。</w:t>
            </w:r>
          </w:p>
          <w:p w14:paraId="72125ED8">
            <w:pPr>
              <w:pStyle w:val="10"/>
              <w:numPr>
                <w:ilvl w:val="0"/>
                <w:numId w:val="3"/>
              </w:numPr>
              <w:spacing w:line="360" w:lineRule="auto"/>
              <w:ind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公司考虑到当前二级市场的特殊情况，短期内上市公司再融资是否可能性较低？关注到行业内龙头企业正在通过境外上市等方式进行再融资，公司是否会考虑类似的方式以帮助自身更好的度过行业寒冬？</w:t>
            </w:r>
          </w:p>
          <w:p w14:paraId="6F2C05DD">
            <w:pPr>
              <w:pStyle w:val="7"/>
              <w:spacing w:before="36" w:line="329" w:lineRule="auto"/>
              <w:ind w:left="113" w:right="105" w:firstLine="503"/>
              <w:jc w:val="both"/>
              <w:rPr>
                <w:rFonts w:hint="eastAsia"/>
                <w:spacing w:val="-2"/>
                <w:lang w:eastAsia="zh-CN"/>
              </w:rPr>
            </w:pPr>
            <w:r>
              <w:rPr>
                <w:spacing w:val="-2"/>
                <w:lang w:eastAsia="zh-CN"/>
              </w:rPr>
              <w:t>答：</w:t>
            </w:r>
            <w:r>
              <w:rPr>
                <w:rFonts w:hint="eastAsia"/>
                <w:spacing w:val="-2"/>
                <w:lang w:eastAsia="zh-CN"/>
              </w:rPr>
              <w:t>短期内上市公司再融资的可行性会受到二级市场特殊情况的影响。未来公司将根据资本市场情况、自身发展战略和资金需求等各方面因素，综合考虑多种融资</w:t>
            </w:r>
            <w:r>
              <w:rPr>
                <w:rFonts w:hint="eastAsia"/>
                <w:spacing w:val="-2"/>
                <w:lang w:val="en-US" w:eastAsia="zh-CN"/>
              </w:rPr>
              <w:t>渠道</w:t>
            </w:r>
            <w:r>
              <w:rPr>
                <w:rFonts w:hint="eastAsia"/>
                <w:spacing w:val="-2"/>
                <w:lang w:eastAsia="zh-CN"/>
              </w:rPr>
              <w:t>，目前暂无境外上市再融资计划。</w:t>
            </w:r>
          </w:p>
          <w:p w14:paraId="7AAEA53C">
            <w:pPr>
              <w:pStyle w:val="7"/>
              <w:numPr>
                <w:ilvl w:val="0"/>
                <w:numId w:val="3"/>
              </w:numPr>
              <w:spacing w:before="120" w:line="329" w:lineRule="auto"/>
              <w:ind w:left="113" w:right="105" w:firstLine="503"/>
              <w:jc w:val="both"/>
              <w:rPr>
                <w:rFonts w:hint="eastAsia"/>
                <w:lang w:eastAsia="zh-CN"/>
              </w:rPr>
            </w:pPr>
            <w:r>
              <w:rPr>
                <w:rFonts w:hint="eastAsia"/>
                <w:b/>
                <w:bCs/>
                <w:lang w:eastAsia="zh-CN"/>
              </w:rPr>
              <w:t>近期电池价格是否有所上涨，该趋势能否保持？</w:t>
            </w:r>
          </w:p>
          <w:p w14:paraId="2B8E830D">
            <w:pPr>
              <w:pStyle w:val="7"/>
              <w:spacing w:before="120" w:line="329" w:lineRule="auto"/>
              <w:ind w:left="113" w:right="105" w:firstLine="472" w:firstLineChars="200"/>
              <w:jc w:val="both"/>
              <w:rPr>
                <w:rFonts w:hint="eastAsia"/>
                <w:lang w:eastAsia="zh-CN"/>
              </w:rPr>
            </w:pPr>
            <w:r>
              <w:rPr>
                <w:rFonts w:hint="eastAsia"/>
                <w:spacing w:val="-2"/>
                <w:lang w:eastAsia="zh-CN"/>
              </w:rPr>
              <w:t>答：近期，受出口退税率调整影响，电池价格出现结构性上涨，其中N型18X尺寸电池因出现阶段性供应偏紧，主流成交价有所上调。展望后续，产品售价仍需紧密跟踪市场供需变化情况，公司将认真研判，积极把握市场机遇，以最优的采销策略维护股东权益。</w:t>
            </w:r>
          </w:p>
        </w:tc>
      </w:tr>
    </w:tbl>
    <w:p w14:paraId="1487F0D5">
      <w:pPr>
        <w:spacing w:line="91" w:lineRule="auto"/>
        <w:rPr>
          <w:sz w:val="2"/>
          <w:lang w:eastAsia="zh-CN"/>
        </w:rPr>
      </w:pPr>
    </w:p>
    <w:sectPr>
      <w:pgSz w:w="11907" w:h="16839"/>
      <w:pgMar w:top="1431" w:right="1785" w:bottom="1429"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auto"/>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4541E"/>
    <w:multiLevelType w:val="singleLevel"/>
    <w:tmpl w:val="B184541E"/>
    <w:lvl w:ilvl="0" w:tentative="0">
      <w:start w:val="2"/>
      <w:numFmt w:val="decimal"/>
      <w:suff w:val="nothing"/>
      <w:lvlText w:val="%1、"/>
      <w:lvlJc w:val="left"/>
      <w:rPr>
        <w:b/>
        <w:bCs/>
      </w:rPr>
    </w:lvl>
  </w:abstractNum>
  <w:abstractNum w:abstractNumId="1">
    <w:nsid w:val="30EC01F0"/>
    <w:multiLevelType w:val="multilevel"/>
    <w:tmpl w:val="30EC01F0"/>
    <w:lvl w:ilvl="0" w:tentative="0">
      <w:start w:val="1"/>
      <w:numFmt w:val="decimal"/>
      <w:lvlText w:val="%1."/>
      <w:lvlJc w:val="left"/>
      <w:pPr>
        <w:ind w:left="496" w:hanging="360"/>
      </w:pPr>
      <w:rPr>
        <w:rFonts w:hint="default"/>
      </w:rPr>
    </w:lvl>
    <w:lvl w:ilvl="1" w:tentative="0">
      <w:start w:val="1"/>
      <w:numFmt w:val="lowerLetter"/>
      <w:lvlText w:val="%2)"/>
      <w:lvlJc w:val="left"/>
      <w:pPr>
        <w:ind w:left="1016" w:hanging="440"/>
      </w:pPr>
    </w:lvl>
    <w:lvl w:ilvl="2" w:tentative="0">
      <w:start w:val="1"/>
      <w:numFmt w:val="lowerRoman"/>
      <w:lvlText w:val="%3."/>
      <w:lvlJc w:val="right"/>
      <w:pPr>
        <w:ind w:left="1456" w:hanging="440"/>
      </w:pPr>
    </w:lvl>
    <w:lvl w:ilvl="3" w:tentative="0">
      <w:start w:val="1"/>
      <w:numFmt w:val="decimal"/>
      <w:lvlText w:val="%4."/>
      <w:lvlJc w:val="left"/>
      <w:pPr>
        <w:ind w:left="1896" w:hanging="440"/>
      </w:pPr>
    </w:lvl>
    <w:lvl w:ilvl="4" w:tentative="0">
      <w:start w:val="1"/>
      <w:numFmt w:val="lowerLetter"/>
      <w:lvlText w:val="%5)"/>
      <w:lvlJc w:val="left"/>
      <w:pPr>
        <w:ind w:left="2336" w:hanging="440"/>
      </w:pPr>
    </w:lvl>
    <w:lvl w:ilvl="5" w:tentative="0">
      <w:start w:val="1"/>
      <w:numFmt w:val="lowerRoman"/>
      <w:lvlText w:val="%6."/>
      <w:lvlJc w:val="right"/>
      <w:pPr>
        <w:ind w:left="2776" w:hanging="440"/>
      </w:pPr>
    </w:lvl>
    <w:lvl w:ilvl="6" w:tentative="0">
      <w:start w:val="1"/>
      <w:numFmt w:val="decimal"/>
      <w:lvlText w:val="%7."/>
      <w:lvlJc w:val="left"/>
      <w:pPr>
        <w:ind w:left="3216" w:hanging="440"/>
      </w:pPr>
    </w:lvl>
    <w:lvl w:ilvl="7" w:tentative="0">
      <w:start w:val="1"/>
      <w:numFmt w:val="lowerLetter"/>
      <w:lvlText w:val="%8)"/>
      <w:lvlJc w:val="left"/>
      <w:pPr>
        <w:ind w:left="3656" w:hanging="440"/>
      </w:pPr>
    </w:lvl>
    <w:lvl w:ilvl="8" w:tentative="0">
      <w:start w:val="1"/>
      <w:numFmt w:val="lowerRoman"/>
      <w:lvlText w:val="%9."/>
      <w:lvlJc w:val="right"/>
      <w:pPr>
        <w:ind w:left="4096" w:hanging="440"/>
      </w:pPr>
    </w:lvl>
  </w:abstractNum>
  <w:abstractNum w:abstractNumId="2">
    <w:nsid w:val="64133245"/>
    <w:multiLevelType w:val="singleLevel"/>
    <w:tmpl w:val="64133245"/>
    <w:lvl w:ilvl="0" w:tentative="0">
      <w:start w:val="7"/>
      <w:numFmt w:val="decimal"/>
      <w:suff w:val="nothing"/>
      <w:lvlText w:val="%1、"/>
      <w:lvlJc w:val="left"/>
      <w:rPr>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0ZGJhNzlkMDMzZjE2ZWYzNjNkNTY0NGM4NDU5NTkifQ=="/>
  </w:docVars>
  <w:rsids>
    <w:rsidRoot w:val="00172A27"/>
    <w:rsid w:val="00132B6D"/>
    <w:rsid w:val="00172A27"/>
    <w:rsid w:val="002576A1"/>
    <w:rsid w:val="00331F12"/>
    <w:rsid w:val="003A6CFD"/>
    <w:rsid w:val="00400D62"/>
    <w:rsid w:val="00596886"/>
    <w:rsid w:val="00683645"/>
    <w:rsid w:val="006E7F37"/>
    <w:rsid w:val="00771B31"/>
    <w:rsid w:val="0078453B"/>
    <w:rsid w:val="007F42C5"/>
    <w:rsid w:val="008403A8"/>
    <w:rsid w:val="008A76DD"/>
    <w:rsid w:val="008E70A9"/>
    <w:rsid w:val="0091362C"/>
    <w:rsid w:val="009535AB"/>
    <w:rsid w:val="009F4741"/>
    <w:rsid w:val="00A9039C"/>
    <w:rsid w:val="00AB4538"/>
    <w:rsid w:val="00B13C7A"/>
    <w:rsid w:val="00B93ECE"/>
    <w:rsid w:val="00C317EF"/>
    <w:rsid w:val="00C429A0"/>
    <w:rsid w:val="00C508A0"/>
    <w:rsid w:val="00CE140A"/>
    <w:rsid w:val="00CE4236"/>
    <w:rsid w:val="00E051F7"/>
    <w:rsid w:val="00E20F93"/>
    <w:rsid w:val="00EE2C33"/>
    <w:rsid w:val="00F44F20"/>
    <w:rsid w:val="00F72996"/>
    <w:rsid w:val="00F979D6"/>
    <w:rsid w:val="05DC161E"/>
    <w:rsid w:val="0B225DFB"/>
    <w:rsid w:val="12C63575"/>
    <w:rsid w:val="136C6BDF"/>
    <w:rsid w:val="180327A7"/>
    <w:rsid w:val="18B01199"/>
    <w:rsid w:val="21AA5206"/>
    <w:rsid w:val="25397C3C"/>
    <w:rsid w:val="25D063A7"/>
    <w:rsid w:val="270859F3"/>
    <w:rsid w:val="27DD3A7C"/>
    <w:rsid w:val="28F705B3"/>
    <w:rsid w:val="294871F6"/>
    <w:rsid w:val="2A1808F5"/>
    <w:rsid w:val="2F8741E0"/>
    <w:rsid w:val="300F4032"/>
    <w:rsid w:val="32572810"/>
    <w:rsid w:val="3603788C"/>
    <w:rsid w:val="36AB7E6A"/>
    <w:rsid w:val="37965BD5"/>
    <w:rsid w:val="38AE4472"/>
    <w:rsid w:val="3B507E5D"/>
    <w:rsid w:val="3B77553C"/>
    <w:rsid w:val="3DEE79DD"/>
    <w:rsid w:val="41647664"/>
    <w:rsid w:val="43AF21D5"/>
    <w:rsid w:val="533945E1"/>
    <w:rsid w:val="54B36524"/>
    <w:rsid w:val="54CA6DEF"/>
    <w:rsid w:val="55401139"/>
    <w:rsid w:val="56730E64"/>
    <w:rsid w:val="587E2868"/>
    <w:rsid w:val="589624C5"/>
    <w:rsid w:val="63525FE4"/>
    <w:rsid w:val="65D75D9B"/>
    <w:rsid w:val="66522FDF"/>
    <w:rsid w:val="6B7878AD"/>
    <w:rsid w:val="6CF97C65"/>
    <w:rsid w:val="6DD16EDF"/>
    <w:rsid w:val="73013807"/>
    <w:rsid w:val="79CB43E5"/>
    <w:rsid w:val="7CD05C51"/>
    <w:rsid w:val="7CFA40F4"/>
    <w:rsid w:val="7E800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tabs>
        <w:tab w:val="center" w:pos="4153"/>
        <w:tab w:val="right" w:pos="8306"/>
      </w:tabs>
      <w:jc w:val="center"/>
    </w:pPr>
    <w:rPr>
      <w:sz w:val="18"/>
      <w:szCs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宋体" w:hAnsi="宋体" w:eastAsia="宋体" w:cs="宋体"/>
      <w:sz w:val="24"/>
      <w:szCs w:val="24"/>
    </w:rPr>
  </w:style>
  <w:style w:type="character" w:customStyle="1" w:styleId="8">
    <w:name w:val="页眉 字符"/>
    <w:basedOn w:val="5"/>
    <w:link w:val="3"/>
    <w:autoRedefine/>
    <w:qFormat/>
    <w:uiPriority w:val="99"/>
    <w:rPr>
      <w:sz w:val="18"/>
      <w:szCs w:val="18"/>
    </w:rPr>
  </w:style>
  <w:style w:type="character" w:customStyle="1" w:styleId="9">
    <w:name w:val="页脚 字符"/>
    <w:basedOn w:val="5"/>
    <w:link w:val="2"/>
    <w:autoRedefine/>
    <w:qFormat/>
    <w:uiPriority w:val="99"/>
    <w:rPr>
      <w:sz w:val="18"/>
      <w:szCs w:val="18"/>
    </w:rPr>
  </w:style>
  <w:style w:type="paragraph" w:styleId="10">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2609</Words>
  <Characters>2717</Characters>
  <Lines>20</Lines>
  <Paragraphs>5</Paragraphs>
  <TotalTime>6</TotalTime>
  <ScaleCrop>false</ScaleCrop>
  <LinksUpToDate>false</LinksUpToDate>
  <CharactersWithSpaces>2789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2022-05-06T15:20:00Z</dcterms:created>
  <dc:creator>毋晓妮</dc:creator>
  <cp:lastModifiedBy>何卓佳</cp:lastModifiedBy>
  <cp:lastPrinted>2024-09-26T07:48:00Z</cp:lastPrinted>
  <dcterms:modified xsi:type="dcterms:W3CDTF">2024-12-03T07:42:39Z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2024-05-03T16:40:34Z</vt:filetime>
  </property>
  <property fmtid="{D5CDD505-2E9C-101B-9397-08002B2CF9AE}" pid="4" name="KSOProductBuildVer">
    <vt:lpwstr>2052-12.1.0.18912</vt:lpwstr>
  </property>
  <property fmtid="{D5CDD505-2E9C-101B-9397-08002B2CF9AE}" pid="5" name="ICV">
    <vt:lpwstr>837C9A23E235450A987DA277D393BA79_13</vt:lpwstr>
  </property>
</Properties>
</file>