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84A259" w14:textId="77777777" w:rsidR="005672B6" w:rsidRDefault="00F02CBC">
      <w:pPr>
        <w:rPr>
          <w:rFonts w:ascii="宋体" w:eastAsia="宋体" w:hAnsi="宋体"/>
          <w:b/>
          <w:sz w:val="24"/>
          <w:szCs w:val="24"/>
        </w:rPr>
      </w:pPr>
      <w:r>
        <w:rPr>
          <w:rFonts w:ascii="宋体" w:eastAsia="宋体" w:hAnsi="宋体" w:hint="eastAsia"/>
          <w:b/>
          <w:sz w:val="24"/>
          <w:szCs w:val="24"/>
        </w:rPr>
        <w:t>证券代码：600330                                证券简称：天通股份</w:t>
      </w:r>
    </w:p>
    <w:p w14:paraId="29E171F1" w14:textId="77777777" w:rsidR="005672B6" w:rsidRDefault="005672B6">
      <w:pPr>
        <w:rPr>
          <w:rFonts w:ascii="宋体" w:eastAsia="宋体" w:hAnsi="宋体"/>
          <w:sz w:val="24"/>
          <w:szCs w:val="24"/>
        </w:rPr>
      </w:pPr>
    </w:p>
    <w:p w14:paraId="780EB5E6" w14:textId="77777777" w:rsidR="005672B6" w:rsidRDefault="00F02CBC">
      <w:pPr>
        <w:jc w:val="center"/>
        <w:rPr>
          <w:rFonts w:ascii="宋体" w:eastAsia="宋体" w:hAnsi="宋体"/>
          <w:b/>
          <w:sz w:val="36"/>
          <w:szCs w:val="36"/>
        </w:rPr>
      </w:pPr>
      <w:r>
        <w:rPr>
          <w:rFonts w:ascii="宋体" w:eastAsia="宋体" w:hAnsi="宋体" w:hint="eastAsia"/>
          <w:b/>
          <w:sz w:val="36"/>
          <w:szCs w:val="36"/>
        </w:rPr>
        <w:t>天通控股股份有限公司</w:t>
      </w:r>
    </w:p>
    <w:p w14:paraId="477A90F9" w14:textId="77777777" w:rsidR="005672B6" w:rsidRDefault="00F02CBC">
      <w:pPr>
        <w:jc w:val="center"/>
        <w:rPr>
          <w:rFonts w:ascii="宋体" w:eastAsia="宋体" w:hAnsi="宋体"/>
          <w:b/>
          <w:sz w:val="36"/>
          <w:szCs w:val="36"/>
        </w:rPr>
      </w:pPr>
      <w:r>
        <w:rPr>
          <w:rFonts w:ascii="宋体" w:eastAsia="宋体" w:hAnsi="宋体" w:hint="eastAsia"/>
          <w:b/>
          <w:sz w:val="36"/>
          <w:szCs w:val="36"/>
        </w:rPr>
        <w:t>投资者关系活动记录表</w:t>
      </w:r>
    </w:p>
    <w:p w14:paraId="20E8DA03" w14:textId="77777777" w:rsidR="005672B6" w:rsidRDefault="005672B6">
      <w:pPr>
        <w:jc w:val="center"/>
        <w:rPr>
          <w:rFonts w:ascii="宋体" w:eastAsia="宋体" w:hAnsi="宋体"/>
          <w:b/>
          <w:sz w:val="36"/>
          <w:szCs w:val="36"/>
        </w:rPr>
      </w:pPr>
    </w:p>
    <w:tbl>
      <w:tblPr>
        <w:tblStyle w:val="a9"/>
        <w:tblW w:w="0" w:type="auto"/>
        <w:tblLook w:val="04A0" w:firstRow="1" w:lastRow="0" w:firstColumn="1" w:lastColumn="0" w:noHBand="0" w:noVBand="1"/>
      </w:tblPr>
      <w:tblGrid>
        <w:gridCol w:w="1444"/>
        <w:gridCol w:w="6851"/>
      </w:tblGrid>
      <w:tr w:rsidR="005672B6" w14:paraId="37FEA1A9" w14:textId="77777777">
        <w:tc>
          <w:tcPr>
            <w:tcW w:w="1444" w:type="dxa"/>
            <w:tcBorders>
              <w:top w:val="single" w:sz="4" w:space="0" w:color="auto"/>
              <w:left w:val="single" w:sz="4" w:space="0" w:color="auto"/>
              <w:bottom w:val="single" w:sz="4" w:space="0" w:color="auto"/>
              <w:right w:val="single" w:sz="4" w:space="0" w:color="auto"/>
            </w:tcBorders>
            <w:vAlign w:val="center"/>
          </w:tcPr>
          <w:p w14:paraId="38FD6BF8" w14:textId="77777777" w:rsidR="005672B6" w:rsidRDefault="00F02CBC">
            <w:pPr>
              <w:spacing w:line="360" w:lineRule="auto"/>
              <w:jc w:val="center"/>
              <w:rPr>
                <w:rFonts w:ascii="黑体" w:eastAsia="黑体" w:hAnsi="黑体"/>
                <w:sz w:val="24"/>
                <w:szCs w:val="24"/>
              </w:rPr>
            </w:pPr>
            <w:r>
              <w:rPr>
                <w:rFonts w:ascii="黑体" w:eastAsia="黑体" w:hAnsi="黑体" w:hint="eastAsia"/>
                <w:sz w:val="24"/>
                <w:szCs w:val="24"/>
              </w:rPr>
              <w:t>投资者关系</w:t>
            </w:r>
          </w:p>
          <w:p w14:paraId="6CBFD239" w14:textId="77777777" w:rsidR="005672B6" w:rsidRDefault="00F02CBC">
            <w:pPr>
              <w:spacing w:line="360" w:lineRule="auto"/>
              <w:jc w:val="center"/>
              <w:rPr>
                <w:rFonts w:ascii="黑体" w:eastAsia="黑体" w:hAnsi="黑体"/>
                <w:sz w:val="24"/>
                <w:szCs w:val="24"/>
              </w:rPr>
            </w:pPr>
            <w:r>
              <w:rPr>
                <w:rFonts w:ascii="黑体" w:eastAsia="黑体" w:hAnsi="黑体" w:hint="eastAsia"/>
                <w:sz w:val="24"/>
                <w:szCs w:val="24"/>
              </w:rPr>
              <w:t>活动类别</w:t>
            </w:r>
          </w:p>
        </w:tc>
        <w:tc>
          <w:tcPr>
            <w:tcW w:w="6851" w:type="dxa"/>
            <w:tcBorders>
              <w:top w:val="single" w:sz="4" w:space="0" w:color="auto"/>
              <w:left w:val="single" w:sz="4" w:space="0" w:color="auto"/>
              <w:bottom w:val="single" w:sz="4" w:space="0" w:color="auto"/>
              <w:right w:val="single" w:sz="4" w:space="0" w:color="auto"/>
            </w:tcBorders>
            <w:vAlign w:val="center"/>
          </w:tcPr>
          <w:p w14:paraId="22466D87" w14:textId="77777777" w:rsidR="005672B6" w:rsidRDefault="00F02CBC">
            <w:pPr>
              <w:rPr>
                <w:rFonts w:ascii="宋体" w:eastAsia="宋体" w:hAnsi="宋体"/>
                <w:sz w:val="24"/>
                <w:szCs w:val="24"/>
              </w:rPr>
            </w:pPr>
            <w:r>
              <w:rPr>
                <w:rFonts w:ascii="宋体" w:eastAsia="宋体" w:hAnsi="宋体" w:hint="eastAsia"/>
                <w:sz w:val="24"/>
                <w:szCs w:val="24"/>
              </w:rPr>
              <w:t>现场调研</w:t>
            </w:r>
          </w:p>
        </w:tc>
      </w:tr>
      <w:tr w:rsidR="005672B6" w14:paraId="24EB7618" w14:textId="77777777">
        <w:tc>
          <w:tcPr>
            <w:tcW w:w="1444" w:type="dxa"/>
            <w:tcBorders>
              <w:top w:val="single" w:sz="4" w:space="0" w:color="auto"/>
              <w:left w:val="single" w:sz="4" w:space="0" w:color="auto"/>
              <w:bottom w:val="single" w:sz="4" w:space="0" w:color="auto"/>
              <w:right w:val="single" w:sz="4" w:space="0" w:color="auto"/>
            </w:tcBorders>
            <w:vAlign w:val="center"/>
          </w:tcPr>
          <w:p w14:paraId="579A57F3" w14:textId="77777777" w:rsidR="005672B6" w:rsidRDefault="00F02CBC">
            <w:pPr>
              <w:spacing w:line="360" w:lineRule="auto"/>
              <w:jc w:val="center"/>
              <w:rPr>
                <w:rFonts w:ascii="黑体" w:eastAsia="黑体" w:hAnsi="黑体"/>
                <w:sz w:val="24"/>
                <w:szCs w:val="24"/>
              </w:rPr>
            </w:pPr>
            <w:r>
              <w:rPr>
                <w:rFonts w:ascii="黑体" w:eastAsia="黑体" w:hAnsi="黑体" w:hint="eastAsia"/>
                <w:sz w:val="24"/>
                <w:szCs w:val="24"/>
              </w:rPr>
              <w:t>参与单位名称及人员</w:t>
            </w:r>
          </w:p>
        </w:tc>
        <w:tc>
          <w:tcPr>
            <w:tcW w:w="6851" w:type="dxa"/>
            <w:tcBorders>
              <w:top w:val="single" w:sz="4" w:space="0" w:color="auto"/>
              <w:left w:val="single" w:sz="4" w:space="0" w:color="auto"/>
              <w:bottom w:val="single" w:sz="4" w:space="0" w:color="auto"/>
              <w:right w:val="single" w:sz="4" w:space="0" w:color="auto"/>
            </w:tcBorders>
          </w:tcPr>
          <w:p w14:paraId="6EFFA3CD" w14:textId="77777777" w:rsidR="005672B6" w:rsidRDefault="00F02CBC">
            <w:pPr>
              <w:spacing w:line="360" w:lineRule="auto"/>
              <w:rPr>
                <w:rFonts w:ascii="宋体" w:eastAsia="宋体" w:hAnsi="宋体"/>
                <w:sz w:val="24"/>
                <w:szCs w:val="24"/>
              </w:rPr>
            </w:pPr>
            <w:r>
              <w:rPr>
                <w:rFonts w:ascii="宋体" w:eastAsia="宋体" w:hAnsi="宋体" w:hint="eastAsia"/>
                <w:bCs/>
                <w:sz w:val="24"/>
                <w:szCs w:val="24"/>
              </w:rPr>
              <w:t>国联证券股份有限公司刘亚辉、王婷婷、王海、娄泉松、俞李宾朗；个人投资者韩明、孟振文、金国平、俞斌、郑宇航、李明</w:t>
            </w:r>
            <w:proofErr w:type="gramStart"/>
            <w:r>
              <w:rPr>
                <w:rFonts w:ascii="宋体" w:eastAsia="宋体" w:hAnsi="宋体" w:hint="eastAsia"/>
                <w:bCs/>
                <w:sz w:val="24"/>
                <w:szCs w:val="24"/>
              </w:rPr>
              <w:t>桢</w:t>
            </w:r>
            <w:proofErr w:type="gramEnd"/>
            <w:r>
              <w:rPr>
                <w:rFonts w:ascii="宋体" w:eastAsia="宋体" w:hAnsi="宋体" w:hint="eastAsia"/>
                <w:bCs/>
                <w:sz w:val="24"/>
                <w:szCs w:val="24"/>
              </w:rPr>
              <w:t>、陆申婷、谭国琪、刘其俊（以上排名不分先后）</w:t>
            </w:r>
          </w:p>
        </w:tc>
      </w:tr>
      <w:tr w:rsidR="005672B6" w14:paraId="0FB8D282" w14:textId="77777777">
        <w:tc>
          <w:tcPr>
            <w:tcW w:w="1444" w:type="dxa"/>
            <w:tcBorders>
              <w:top w:val="single" w:sz="4" w:space="0" w:color="auto"/>
              <w:left w:val="single" w:sz="4" w:space="0" w:color="auto"/>
              <w:bottom w:val="single" w:sz="4" w:space="0" w:color="auto"/>
              <w:right w:val="single" w:sz="4" w:space="0" w:color="auto"/>
            </w:tcBorders>
            <w:vAlign w:val="center"/>
          </w:tcPr>
          <w:p w14:paraId="6B460523" w14:textId="77777777" w:rsidR="005672B6" w:rsidRDefault="00F02CBC">
            <w:pPr>
              <w:jc w:val="center"/>
              <w:rPr>
                <w:rFonts w:ascii="黑体" w:eastAsia="黑体" w:hAnsi="黑体"/>
                <w:sz w:val="24"/>
                <w:szCs w:val="24"/>
              </w:rPr>
            </w:pPr>
            <w:r>
              <w:rPr>
                <w:rFonts w:ascii="黑体" w:eastAsia="黑体" w:hAnsi="黑体" w:hint="eastAsia"/>
                <w:sz w:val="24"/>
                <w:szCs w:val="24"/>
              </w:rPr>
              <w:t>时间</w:t>
            </w:r>
          </w:p>
        </w:tc>
        <w:tc>
          <w:tcPr>
            <w:tcW w:w="6851" w:type="dxa"/>
            <w:tcBorders>
              <w:top w:val="single" w:sz="4" w:space="0" w:color="auto"/>
              <w:left w:val="single" w:sz="4" w:space="0" w:color="auto"/>
              <w:bottom w:val="single" w:sz="4" w:space="0" w:color="auto"/>
              <w:right w:val="single" w:sz="4" w:space="0" w:color="auto"/>
            </w:tcBorders>
          </w:tcPr>
          <w:p w14:paraId="3A62CDEB" w14:textId="77777777" w:rsidR="005672B6" w:rsidRDefault="00F02CBC">
            <w:pPr>
              <w:spacing w:line="360" w:lineRule="auto"/>
              <w:rPr>
                <w:rFonts w:ascii="宋体" w:eastAsia="宋体" w:hAnsi="宋体"/>
                <w:sz w:val="24"/>
                <w:szCs w:val="24"/>
              </w:rPr>
            </w:pPr>
            <w:r>
              <w:rPr>
                <w:rFonts w:ascii="宋体" w:eastAsia="宋体" w:hAnsi="宋体" w:hint="eastAsia"/>
                <w:sz w:val="24"/>
                <w:szCs w:val="24"/>
              </w:rPr>
              <w:t>2024年</w:t>
            </w:r>
            <w:r>
              <w:rPr>
                <w:rFonts w:ascii="宋体" w:eastAsia="宋体" w:hAnsi="宋体"/>
                <w:sz w:val="24"/>
                <w:szCs w:val="24"/>
              </w:rPr>
              <w:t>1</w:t>
            </w:r>
            <w:r>
              <w:rPr>
                <w:rFonts w:ascii="宋体" w:eastAsia="宋体" w:hAnsi="宋体" w:hint="eastAsia"/>
                <w:sz w:val="24"/>
                <w:szCs w:val="24"/>
              </w:rPr>
              <w:t>2月4日14</w:t>
            </w:r>
            <w:r>
              <w:rPr>
                <w:rFonts w:ascii="宋体" w:eastAsia="宋体" w:hAnsi="宋体"/>
                <w:sz w:val="24"/>
                <w:szCs w:val="24"/>
              </w:rPr>
              <w:t>:</w:t>
            </w:r>
            <w:r>
              <w:rPr>
                <w:rFonts w:ascii="宋体" w:eastAsia="宋体" w:hAnsi="宋体" w:hint="eastAsia"/>
                <w:sz w:val="24"/>
                <w:szCs w:val="24"/>
              </w:rPr>
              <w:t>0</w:t>
            </w:r>
            <w:r>
              <w:rPr>
                <w:rFonts w:ascii="宋体" w:eastAsia="宋体" w:hAnsi="宋体"/>
                <w:sz w:val="24"/>
                <w:szCs w:val="24"/>
              </w:rPr>
              <w:t>0</w:t>
            </w:r>
          </w:p>
        </w:tc>
      </w:tr>
      <w:tr w:rsidR="005672B6" w14:paraId="7A8BB59A" w14:textId="77777777">
        <w:tc>
          <w:tcPr>
            <w:tcW w:w="1444" w:type="dxa"/>
            <w:tcBorders>
              <w:top w:val="single" w:sz="4" w:space="0" w:color="auto"/>
              <w:left w:val="single" w:sz="4" w:space="0" w:color="auto"/>
              <w:bottom w:val="single" w:sz="4" w:space="0" w:color="auto"/>
              <w:right w:val="single" w:sz="4" w:space="0" w:color="auto"/>
            </w:tcBorders>
            <w:vAlign w:val="center"/>
          </w:tcPr>
          <w:p w14:paraId="204D0895" w14:textId="77777777" w:rsidR="005672B6" w:rsidRDefault="00F02CBC">
            <w:pPr>
              <w:jc w:val="center"/>
              <w:rPr>
                <w:rFonts w:ascii="黑体" w:eastAsia="黑体" w:hAnsi="黑体"/>
                <w:sz w:val="24"/>
                <w:szCs w:val="24"/>
              </w:rPr>
            </w:pPr>
            <w:r>
              <w:rPr>
                <w:rFonts w:ascii="黑体" w:eastAsia="黑体" w:hAnsi="黑体" w:hint="eastAsia"/>
                <w:sz w:val="24"/>
                <w:szCs w:val="24"/>
              </w:rPr>
              <w:t>地点</w:t>
            </w:r>
          </w:p>
        </w:tc>
        <w:tc>
          <w:tcPr>
            <w:tcW w:w="6851" w:type="dxa"/>
            <w:tcBorders>
              <w:top w:val="single" w:sz="4" w:space="0" w:color="auto"/>
              <w:left w:val="single" w:sz="4" w:space="0" w:color="auto"/>
              <w:bottom w:val="single" w:sz="4" w:space="0" w:color="auto"/>
              <w:right w:val="single" w:sz="4" w:space="0" w:color="auto"/>
            </w:tcBorders>
          </w:tcPr>
          <w:p w14:paraId="6DF3D0D9" w14:textId="77777777" w:rsidR="005672B6" w:rsidRDefault="00F02CBC">
            <w:pPr>
              <w:spacing w:line="360" w:lineRule="auto"/>
              <w:rPr>
                <w:rFonts w:ascii="宋体" w:eastAsia="宋体" w:hAnsi="宋体"/>
                <w:sz w:val="24"/>
                <w:szCs w:val="24"/>
              </w:rPr>
            </w:pPr>
            <w:r>
              <w:rPr>
                <w:rFonts w:ascii="宋体" w:eastAsia="宋体" w:hAnsi="宋体" w:hint="eastAsia"/>
                <w:sz w:val="24"/>
                <w:szCs w:val="24"/>
              </w:rPr>
              <w:t>海宁公司会议室</w:t>
            </w:r>
          </w:p>
        </w:tc>
      </w:tr>
      <w:tr w:rsidR="005672B6" w14:paraId="3DC3047F" w14:textId="77777777">
        <w:tc>
          <w:tcPr>
            <w:tcW w:w="1444" w:type="dxa"/>
            <w:tcBorders>
              <w:top w:val="single" w:sz="4" w:space="0" w:color="auto"/>
              <w:left w:val="single" w:sz="4" w:space="0" w:color="auto"/>
              <w:bottom w:val="single" w:sz="4" w:space="0" w:color="auto"/>
              <w:right w:val="single" w:sz="4" w:space="0" w:color="auto"/>
            </w:tcBorders>
            <w:vAlign w:val="center"/>
          </w:tcPr>
          <w:p w14:paraId="7F10A893" w14:textId="77777777" w:rsidR="005672B6" w:rsidRDefault="00F02CBC">
            <w:pPr>
              <w:jc w:val="center"/>
              <w:rPr>
                <w:rFonts w:ascii="黑体" w:eastAsia="黑体" w:hAnsi="黑体"/>
                <w:sz w:val="24"/>
                <w:szCs w:val="24"/>
              </w:rPr>
            </w:pPr>
            <w:r>
              <w:rPr>
                <w:rFonts w:ascii="黑体" w:eastAsia="黑体" w:hAnsi="黑体" w:hint="eastAsia"/>
                <w:sz w:val="24"/>
                <w:szCs w:val="24"/>
              </w:rPr>
              <w:t>公司接待人员</w:t>
            </w:r>
          </w:p>
        </w:tc>
        <w:tc>
          <w:tcPr>
            <w:tcW w:w="6851" w:type="dxa"/>
            <w:tcBorders>
              <w:top w:val="single" w:sz="4" w:space="0" w:color="auto"/>
              <w:left w:val="single" w:sz="4" w:space="0" w:color="auto"/>
              <w:bottom w:val="single" w:sz="4" w:space="0" w:color="auto"/>
              <w:right w:val="single" w:sz="4" w:space="0" w:color="auto"/>
            </w:tcBorders>
          </w:tcPr>
          <w:p w14:paraId="20ECADD0" w14:textId="77777777" w:rsidR="005672B6" w:rsidRDefault="00F02CBC">
            <w:pPr>
              <w:tabs>
                <w:tab w:val="left" w:pos="2180"/>
              </w:tabs>
              <w:spacing w:line="360" w:lineRule="auto"/>
              <w:rPr>
                <w:rFonts w:ascii="宋体" w:eastAsia="宋体" w:hAnsi="宋体"/>
                <w:bCs/>
                <w:sz w:val="24"/>
                <w:szCs w:val="24"/>
              </w:rPr>
            </w:pPr>
            <w:r>
              <w:rPr>
                <w:rFonts w:ascii="宋体" w:eastAsia="宋体" w:hAnsi="宋体" w:hint="eastAsia"/>
                <w:bCs/>
                <w:sz w:val="24"/>
                <w:szCs w:val="24"/>
              </w:rPr>
              <w:t>董秘：冯燕青</w:t>
            </w:r>
          </w:p>
          <w:p w14:paraId="786CAD30" w14:textId="77777777" w:rsidR="007B4F3B" w:rsidRDefault="007B4F3B">
            <w:pPr>
              <w:tabs>
                <w:tab w:val="left" w:pos="2180"/>
              </w:tabs>
              <w:spacing w:line="360" w:lineRule="auto"/>
              <w:rPr>
                <w:rFonts w:ascii="宋体" w:eastAsia="宋体" w:hAnsi="宋体"/>
                <w:sz w:val="24"/>
                <w:szCs w:val="24"/>
              </w:rPr>
            </w:pPr>
            <w:r>
              <w:rPr>
                <w:rFonts w:ascii="宋体" w:eastAsia="宋体" w:hAnsi="宋体" w:hint="eastAsia"/>
                <w:sz w:val="24"/>
                <w:szCs w:val="24"/>
              </w:rPr>
              <w:t>投资者关系管理：姚天恒</w:t>
            </w:r>
          </w:p>
          <w:p w14:paraId="3CA22874" w14:textId="5144504A" w:rsidR="005672B6" w:rsidRDefault="00F02CBC" w:rsidP="007B4F3B">
            <w:pPr>
              <w:tabs>
                <w:tab w:val="left" w:pos="2180"/>
              </w:tabs>
              <w:spacing w:line="360" w:lineRule="auto"/>
              <w:rPr>
                <w:rFonts w:ascii="宋体" w:eastAsia="宋体" w:hAnsi="宋体"/>
                <w:sz w:val="24"/>
                <w:szCs w:val="24"/>
              </w:rPr>
            </w:pPr>
            <w:r>
              <w:rPr>
                <w:rFonts w:ascii="宋体" w:eastAsia="宋体" w:hAnsi="宋体" w:hint="eastAsia"/>
                <w:bCs/>
                <w:sz w:val="24"/>
                <w:szCs w:val="24"/>
              </w:rPr>
              <w:t>财务：蔺方、王褚忠</w:t>
            </w:r>
          </w:p>
        </w:tc>
      </w:tr>
      <w:tr w:rsidR="005672B6" w14:paraId="03966D51" w14:textId="77777777">
        <w:tc>
          <w:tcPr>
            <w:tcW w:w="1444" w:type="dxa"/>
            <w:tcBorders>
              <w:top w:val="single" w:sz="4" w:space="0" w:color="auto"/>
              <w:left w:val="single" w:sz="4" w:space="0" w:color="auto"/>
              <w:bottom w:val="single" w:sz="4" w:space="0" w:color="auto"/>
              <w:right w:val="single" w:sz="4" w:space="0" w:color="auto"/>
            </w:tcBorders>
            <w:vAlign w:val="center"/>
          </w:tcPr>
          <w:p w14:paraId="12B5CB6F" w14:textId="77777777" w:rsidR="005672B6" w:rsidRDefault="00F02CBC">
            <w:pPr>
              <w:spacing w:line="360" w:lineRule="auto"/>
              <w:jc w:val="center"/>
              <w:rPr>
                <w:rFonts w:ascii="黑体" w:eastAsia="黑体" w:hAnsi="黑体"/>
                <w:sz w:val="24"/>
                <w:szCs w:val="24"/>
              </w:rPr>
            </w:pPr>
            <w:r>
              <w:rPr>
                <w:rFonts w:ascii="黑体" w:eastAsia="黑体" w:hAnsi="黑体" w:hint="eastAsia"/>
                <w:sz w:val="24"/>
                <w:szCs w:val="24"/>
              </w:rPr>
              <w:t>投资者关系</w:t>
            </w:r>
          </w:p>
          <w:p w14:paraId="2D6CA501" w14:textId="77777777" w:rsidR="005672B6" w:rsidRDefault="00F02CBC">
            <w:pPr>
              <w:spacing w:line="360" w:lineRule="auto"/>
              <w:jc w:val="center"/>
              <w:rPr>
                <w:rFonts w:ascii="黑体" w:eastAsia="黑体" w:hAnsi="黑体"/>
                <w:sz w:val="24"/>
                <w:szCs w:val="24"/>
              </w:rPr>
            </w:pPr>
            <w:r>
              <w:rPr>
                <w:rFonts w:ascii="黑体" w:eastAsia="黑体" w:hAnsi="黑体" w:hint="eastAsia"/>
                <w:sz w:val="24"/>
                <w:szCs w:val="24"/>
              </w:rPr>
              <w:t>活动主要</w:t>
            </w:r>
          </w:p>
          <w:p w14:paraId="3F7B99A7" w14:textId="77777777" w:rsidR="005672B6" w:rsidRDefault="00F02CBC">
            <w:pPr>
              <w:spacing w:line="360" w:lineRule="auto"/>
              <w:jc w:val="center"/>
              <w:rPr>
                <w:rFonts w:ascii="黑体" w:eastAsia="黑体" w:hAnsi="黑体"/>
                <w:sz w:val="24"/>
                <w:szCs w:val="24"/>
              </w:rPr>
            </w:pPr>
            <w:r>
              <w:rPr>
                <w:rFonts w:ascii="黑体" w:eastAsia="黑体" w:hAnsi="黑体" w:hint="eastAsia"/>
                <w:sz w:val="24"/>
                <w:szCs w:val="24"/>
              </w:rPr>
              <w:t>内容介绍</w:t>
            </w:r>
          </w:p>
        </w:tc>
        <w:tc>
          <w:tcPr>
            <w:tcW w:w="6851" w:type="dxa"/>
            <w:tcBorders>
              <w:top w:val="single" w:sz="4" w:space="0" w:color="auto"/>
              <w:left w:val="single" w:sz="4" w:space="0" w:color="auto"/>
              <w:bottom w:val="single" w:sz="4" w:space="0" w:color="auto"/>
              <w:right w:val="single" w:sz="4" w:space="0" w:color="auto"/>
            </w:tcBorders>
          </w:tcPr>
          <w:p w14:paraId="79BBEC5D" w14:textId="5AC733A0" w:rsidR="007947BA" w:rsidRDefault="007947BA" w:rsidP="007947BA">
            <w:pPr>
              <w:widowControl/>
              <w:spacing w:line="360" w:lineRule="auto"/>
              <w:rPr>
                <w:rFonts w:ascii="宋体" w:eastAsia="宋体" w:hAnsi="宋体"/>
                <w:b/>
                <w:bCs/>
                <w:sz w:val="24"/>
                <w:szCs w:val="24"/>
              </w:rPr>
            </w:pPr>
            <w:r>
              <w:rPr>
                <w:rFonts w:ascii="宋体" w:eastAsia="宋体" w:hAnsi="宋体" w:hint="eastAsia"/>
                <w:b/>
                <w:bCs/>
                <w:sz w:val="24"/>
                <w:szCs w:val="24"/>
              </w:rPr>
              <w:t>一、参观公司展厅</w:t>
            </w:r>
          </w:p>
          <w:p w14:paraId="2E18ABFD" w14:textId="3AF39B07" w:rsidR="005672B6" w:rsidRDefault="007947BA" w:rsidP="007947BA">
            <w:pPr>
              <w:widowControl/>
              <w:spacing w:line="360" w:lineRule="auto"/>
              <w:rPr>
                <w:rFonts w:ascii="宋体" w:eastAsia="宋体" w:hAnsi="宋体"/>
                <w:b/>
                <w:bCs/>
                <w:sz w:val="24"/>
                <w:szCs w:val="24"/>
              </w:rPr>
            </w:pPr>
            <w:r>
              <w:rPr>
                <w:rFonts w:ascii="宋体" w:eastAsia="宋体" w:hAnsi="宋体" w:hint="eastAsia"/>
                <w:b/>
                <w:bCs/>
                <w:sz w:val="24"/>
                <w:szCs w:val="24"/>
              </w:rPr>
              <w:t>二、</w:t>
            </w:r>
            <w:r w:rsidR="00F02CBC">
              <w:rPr>
                <w:rFonts w:ascii="宋体" w:eastAsia="宋体" w:hAnsi="宋体" w:hint="eastAsia"/>
                <w:b/>
                <w:bCs/>
                <w:sz w:val="24"/>
                <w:szCs w:val="24"/>
              </w:rPr>
              <w:t>公司发展介绍</w:t>
            </w:r>
          </w:p>
          <w:p w14:paraId="7D6EE2D0" w14:textId="31606DB7" w:rsidR="005672B6" w:rsidRDefault="00F02CBC">
            <w:pPr>
              <w:widowControl/>
              <w:spacing w:line="360" w:lineRule="auto"/>
              <w:rPr>
                <w:rFonts w:ascii="宋体" w:eastAsia="宋体" w:hAnsi="宋体"/>
                <w:b/>
                <w:bCs/>
                <w:sz w:val="24"/>
                <w:szCs w:val="24"/>
              </w:rPr>
            </w:pPr>
            <w:r>
              <w:rPr>
                <w:rFonts w:ascii="宋体" w:eastAsia="宋体" w:hAnsi="宋体" w:hint="eastAsia"/>
                <w:bCs/>
                <w:sz w:val="24"/>
                <w:szCs w:val="24"/>
              </w:rPr>
              <w:t>天</w:t>
            </w:r>
            <w:proofErr w:type="gramStart"/>
            <w:r>
              <w:rPr>
                <w:rFonts w:ascii="宋体" w:eastAsia="宋体" w:hAnsi="宋体" w:hint="eastAsia"/>
                <w:bCs/>
                <w:sz w:val="24"/>
                <w:szCs w:val="24"/>
              </w:rPr>
              <w:t>通股份</w:t>
            </w:r>
            <w:proofErr w:type="gramEnd"/>
            <w:r>
              <w:rPr>
                <w:rFonts w:ascii="宋体" w:eastAsia="宋体" w:hAnsi="宋体" w:hint="eastAsia"/>
                <w:bCs/>
                <w:sz w:val="24"/>
                <w:szCs w:val="24"/>
              </w:rPr>
              <w:t>创立于1984年，是国内首家</w:t>
            </w:r>
            <w:r w:rsidR="007B4F3B">
              <w:rPr>
                <w:rFonts w:ascii="宋体" w:eastAsia="宋体" w:hAnsi="宋体" w:hint="eastAsia"/>
                <w:bCs/>
                <w:sz w:val="24"/>
                <w:szCs w:val="24"/>
              </w:rPr>
              <w:t>由</w:t>
            </w:r>
            <w:r>
              <w:rPr>
                <w:rFonts w:ascii="宋体" w:eastAsia="宋体" w:hAnsi="宋体" w:hint="eastAsia"/>
                <w:bCs/>
                <w:sz w:val="24"/>
                <w:szCs w:val="24"/>
              </w:rPr>
              <w:t>自然人</w:t>
            </w:r>
            <w:r w:rsidR="007B4F3B" w:rsidRPr="007947BA">
              <w:rPr>
                <w:rFonts w:ascii="宋体" w:eastAsia="宋体" w:hAnsi="宋体" w:hint="eastAsia"/>
                <w:bCs/>
                <w:sz w:val="24"/>
                <w:szCs w:val="24"/>
              </w:rPr>
              <w:t>直接</w:t>
            </w:r>
            <w:r>
              <w:rPr>
                <w:rFonts w:ascii="宋体" w:eastAsia="宋体" w:hAnsi="宋体" w:hint="eastAsia"/>
                <w:bCs/>
                <w:sz w:val="24"/>
                <w:szCs w:val="24"/>
              </w:rPr>
              <w:t>控股的上市公司。公司自成立以来，紧紧围绕“材料+设备”双轮驱动的战略发展路径，材料类业务涵盖了软磁材料、蓝宝石晶体材料以及压电晶体材料的研发和生产；设备类业务涵盖了</w:t>
            </w:r>
            <w:bookmarkStart w:id="0" w:name="_GoBack"/>
            <w:bookmarkEnd w:id="0"/>
            <w:r>
              <w:rPr>
                <w:rFonts w:ascii="宋体" w:eastAsia="宋体" w:hAnsi="宋体" w:hint="eastAsia"/>
                <w:bCs/>
                <w:sz w:val="24"/>
                <w:szCs w:val="24"/>
              </w:rPr>
              <w:t>各类型长晶炉、开方机、研磨抛光机、粉体烧结炉、粉末成型炉、污泥干化机等。近年来，尽管公司所在的消费电子、电动汽车、光伏、储能、泛半导体等行业主要呈现增长趋势，但也存在一定的行业周期性影响。因此，公司发展在短周期内有一定的波动，但长期来看整体向好。</w:t>
            </w:r>
          </w:p>
          <w:p w14:paraId="0D56BF27" w14:textId="5B0F77D4" w:rsidR="005672B6" w:rsidRDefault="007947BA">
            <w:pPr>
              <w:widowControl/>
              <w:spacing w:line="360" w:lineRule="auto"/>
              <w:rPr>
                <w:rFonts w:ascii="宋体" w:eastAsia="宋体" w:hAnsi="宋体"/>
                <w:b/>
                <w:bCs/>
                <w:sz w:val="24"/>
                <w:szCs w:val="24"/>
              </w:rPr>
            </w:pPr>
            <w:r>
              <w:rPr>
                <w:rFonts w:ascii="宋体" w:eastAsia="宋体" w:hAnsi="宋体" w:hint="eastAsia"/>
                <w:b/>
                <w:bCs/>
                <w:sz w:val="24"/>
                <w:szCs w:val="24"/>
              </w:rPr>
              <w:t>三</w:t>
            </w:r>
            <w:r w:rsidR="00F02CBC">
              <w:rPr>
                <w:rFonts w:ascii="宋体" w:eastAsia="宋体" w:hAnsi="宋体" w:hint="eastAsia"/>
                <w:b/>
                <w:bCs/>
                <w:sz w:val="24"/>
                <w:szCs w:val="24"/>
              </w:rPr>
              <w:t>、问答：</w:t>
            </w:r>
          </w:p>
          <w:p w14:paraId="1564E4F5" w14:textId="77777777" w:rsidR="005672B6" w:rsidRDefault="00F02CBC">
            <w:pPr>
              <w:widowControl/>
              <w:spacing w:line="360" w:lineRule="auto"/>
              <w:rPr>
                <w:rFonts w:ascii="宋体" w:eastAsia="宋体" w:hAnsi="宋体"/>
                <w:b/>
                <w:bCs/>
                <w:sz w:val="24"/>
                <w:szCs w:val="24"/>
              </w:rPr>
            </w:pPr>
            <w:r>
              <w:rPr>
                <w:rFonts w:ascii="宋体" w:eastAsia="宋体" w:hAnsi="宋体" w:hint="eastAsia"/>
                <w:b/>
                <w:bCs/>
                <w:sz w:val="24"/>
                <w:szCs w:val="24"/>
              </w:rPr>
              <w:t>1、公司近两年业绩（营收、净利润）波动的主要原因和未来提升业绩增长的规划有哪些？</w:t>
            </w:r>
          </w:p>
          <w:p w14:paraId="46AAE41F" w14:textId="77777777" w:rsidR="005672B6" w:rsidRDefault="00F02CBC">
            <w:pPr>
              <w:widowControl/>
              <w:spacing w:line="360" w:lineRule="auto"/>
              <w:rPr>
                <w:rFonts w:ascii="宋体" w:eastAsia="宋体" w:hAnsi="宋体"/>
                <w:sz w:val="24"/>
                <w:szCs w:val="24"/>
              </w:rPr>
            </w:pPr>
            <w:r>
              <w:rPr>
                <w:rFonts w:ascii="宋体" w:eastAsia="宋体" w:hAnsi="宋体" w:hint="eastAsia"/>
                <w:sz w:val="24"/>
                <w:szCs w:val="24"/>
              </w:rPr>
              <w:lastRenderedPageBreak/>
              <w:t>公司以电子材料为核心，注重电子材料与专用装备的协同发展，近两年业绩有所起伏，主要</w:t>
            </w:r>
            <w:proofErr w:type="gramStart"/>
            <w:r>
              <w:rPr>
                <w:rFonts w:ascii="宋体" w:eastAsia="宋体" w:hAnsi="宋体" w:hint="eastAsia"/>
                <w:sz w:val="24"/>
                <w:szCs w:val="24"/>
              </w:rPr>
              <w:t>系材料</w:t>
            </w:r>
            <w:proofErr w:type="gramEnd"/>
            <w:r>
              <w:rPr>
                <w:rFonts w:ascii="宋体" w:eastAsia="宋体" w:hAnsi="宋体" w:hint="eastAsia"/>
                <w:sz w:val="24"/>
                <w:szCs w:val="24"/>
              </w:rPr>
              <w:t>产业蓝宝石和智能装备产业光</w:t>
            </w:r>
            <w:proofErr w:type="gramStart"/>
            <w:r>
              <w:rPr>
                <w:rFonts w:ascii="宋体" w:eastAsia="宋体" w:hAnsi="宋体" w:hint="eastAsia"/>
                <w:sz w:val="24"/>
                <w:szCs w:val="24"/>
              </w:rPr>
              <w:t>伏设备</w:t>
            </w:r>
            <w:proofErr w:type="gramEnd"/>
            <w:r>
              <w:rPr>
                <w:rFonts w:ascii="宋体" w:eastAsia="宋体" w:hAnsi="宋体" w:hint="eastAsia"/>
                <w:sz w:val="24"/>
                <w:szCs w:val="24"/>
              </w:rPr>
              <w:t>受行业周期影响较大。公司将专注主业，一方面加强新产品研发，另一面加强内部精益管理，降本增效，应对行业周期低谷，同时也练好内功为未来业绩增长铺垫。</w:t>
            </w:r>
          </w:p>
          <w:p w14:paraId="0C7AD170" w14:textId="77777777" w:rsidR="005672B6" w:rsidRDefault="00F02CBC">
            <w:pPr>
              <w:widowControl/>
              <w:numPr>
                <w:ilvl w:val="0"/>
                <w:numId w:val="2"/>
              </w:numPr>
              <w:spacing w:line="360" w:lineRule="auto"/>
              <w:rPr>
                <w:rFonts w:ascii="宋体" w:eastAsia="宋体" w:hAnsi="宋体"/>
                <w:b/>
                <w:bCs/>
                <w:sz w:val="24"/>
                <w:szCs w:val="24"/>
              </w:rPr>
            </w:pPr>
            <w:r>
              <w:rPr>
                <w:rFonts w:ascii="宋体" w:eastAsia="宋体" w:hAnsi="宋体" w:hint="eastAsia"/>
                <w:b/>
                <w:bCs/>
                <w:sz w:val="24"/>
                <w:szCs w:val="24"/>
              </w:rPr>
              <w:t>公司专用设备及定制品制作、磁性材料产品、蓝宝石产品、压电石英晶体元器件收入占比怎样，</w:t>
            </w:r>
            <w:proofErr w:type="gramStart"/>
            <w:r>
              <w:rPr>
                <w:rFonts w:ascii="宋体" w:eastAsia="宋体" w:hAnsi="宋体" w:hint="eastAsia"/>
                <w:b/>
                <w:bCs/>
                <w:sz w:val="24"/>
                <w:szCs w:val="24"/>
              </w:rPr>
              <w:t>各业绩</w:t>
            </w:r>
            <w:proofErr w:type="gramEnd"/>
            <w:r>
              <w:rPr>
                <w:rFonts w:ascii="宋体" w:eastAsia="宋体" w:hAnsi="宋体" w:hint="eastAsia"/>
                <w:b/>
                <w:bCs/>
                <w:sz w:val="24"/>
                <w:szCs w:val="24"/>
              </w:rPr>
              <w:t>增长情况，未来新产品研发和新产能投产情况？</w:t>
            </w:r>
          </w:p>
          <w:p w14:paraId="4570B89E" w14:textId="77777777" w:rsidR="005672B6" w:rsidRDefault="00F02CBC">
            <w:pPr>
              <w:widowControl/>
              <w:spacing w:line="360" w:lineRule="auto"/>
              <w:rPr>
                <w:rFonts w:ascii="宋体" w:eastAsia="宋体" w:hAnsi="宋体"/>
                <w:sz w:val="24"/>
                <w:szCs w:val="24"/>
              </w:rPr>
            </w:pPr>
            <w:r>
              <w:rPr>
                <w:rFonts w:ascii="宋体" w:eastAsia="宋体" w:hAnsi="宋体" w:hint="eastAsia"/>
                <w:sz w:val="24"/>
                <w:szCs w:val="24"/>
              </w:rPr>
              <w:t>2023年全年，专用装备制造主营业务营收占比约43%，电子材料制造主营业务营收占比约57%。2024年前三季度，专用装备制造收入受行业周期性影响同比有所下降，电子材料制造受益于下游需求增长有所增长；未来新产品研发和新产能投产将结合市场跟十四五规划及时进行调整。</w:t>
            </w:r>
          </w:p>
          <w:p w14:paraId="2FBAE0A5" w14:textId="77777777" w:rsidR="005672B6" w:rsidRDefault="00F02CBC">
            <w:pPr>
              <w:widowControl/>
              <w:numPr>
                <w:ilvl w:val="0"/>
                <w:numId w:val="2"/>
              </w:numPr>
              <w:spacing w:line="360" w:lineRule="auto"/>
              <w:rPr>
                <w:rFonts w:ascii="宋体" w:eastAsia="宋体" w:hAnsi="宋体"/>
                <w:b/>
                <w:bCs/>
                <w:sz w:val="24"/>
                <w:szCs w:val="24"/>
              </w:rPr>
            </w:pPr>
            <w:r>
              <w:rPr>
                <w:rFonts w:ascii="宋体" w:eastAsia="宋体" w:hAnsi="宋体" w:hint="eastAsia"/>
                <w:b/>
                <w:bCs/>
                <w:sz w:val="24"/>
                <w:szCs w:val="24"/>
              </w:rPr>
              <w:t>公司未来在新兴领域有哪方面布局（公司在建工程大幅增长）？</w:t>
            </w:r>
          </w:p>
          <w:p w14:paraId="662AC9D1" w14:textId="77777777" w:rsidR="005672B6" w:rsidRDefault="00F02CBC">
            <w:pPr>
              <w:widowControl/>
              <w:spacing w:line="360" w:lineRule="auto"/>
              <w:rPr>
                <w:rFonts w:ascii="宋体" w:eastAsia="宋体" w:hAnsi="宋体"/>
                <w:sz w:val="24"/>
                <w:szCs w:val="24"/>
              </w:rPr>
            </w:pPr>
            <w:r>
              <w:rPr>
                <w:rFonts w:ascii="宋体" w:eastAsia="宋体" w:hAnsi="宋体" w:hint="eastAsia"/>
                <w:sz w:val="24"/>
                <w:szCs w:val="24"/>
              </w:rPr>
              <w:t>公司以电子材料为核心，注重电子材料与专用装备的协同发展，通过不断的技术创新和产品升级，确保在激烈的市场竞争中保持领先地位。公司将继续聚焦以新能源、新材料、高端装备为代表的战略性新兴产业，加快发展新质生产力，加大创新投入，加强创新平台建设，以创新驱动发展，锻造更强的产业竞争力。</w:t>
            </w:r>
          </w:p>
          <w:p w14:paraId="28BBAF27" w14:textId="77777777" w:rsidR="005672B6" w:rsidRDefault="00F02CBC">
            <w:pPr>
              <w:widowControl/>
              <w:numPr>
                <w:ilvl w:val="0"/>
                <w:numId w:val="2"/>
              </w:numPr>
              <w:spacing w:line="360" w:lineRule="auto"/>
              <w:rPr>
                <w:rFonts w:ascii="宋体" w:eastAsia="宋体" w:hAnsi="宋体"/>
                <w:b/>
                <w:bCs/>
                <w:sz w:val="24"/>
                <w:szCs w:val="24"/>
              </w:rPr>
            </w:pPr>
            <w:r>
              <w:rPr>
                <w:rFonts w:ascii="宋体" w:eastAsia="宋体" w:hAnsi="宋体" w:hint="eastAsia"/>
                <w:b/>
                <w:bCs/>
                <w:sz w:val="24"/>
                <w:szCs w:val="24"/>
              </w:rPr>
              <w:t>公司大尺寸射频压电晶</w:t>
            </w:r>
            <w:proofErr w:type="gramStart"/>
            <w:r>
              <w:rPr>
                <w:rFonts w:ascii="宋体" w:eastAsia="宋体" w:hAnsi="宋体" w:hint="eastAsia"/>
                <w:b/>
                <w:bCs/>
                <w:sz w:val="24"/>
                <w:szCs w:val="24"/>
              </w:rPr>
              <w:t>圆项目</w:t>
            </w:r>
            <w:proofErr w:type="gramEnd"/>
            <w:r>
              <w:rPr>
                <w:rFonts w:ascii="宋体" w:eastAsia="宋体" w:hAnsi="宋体" w:hint="eastAsia"/>
                <w:b/>
                <w:bCs/>
                <w:sz w:val="24"/>
                <w:szCs w:val="24"/>
              </w:rPr>
              <w:t>和新型高效晶体生长及精密加工智能装备项目建设完成时间递</w:t>
            </w:r>
            <w:proofErr w:type="gramStart"/>
            <w:r>
              <w:rPr>
                <w:rFonts w:ascii="宋体" w:eastAsia="宋体" w:hAnsi="宋体" w:hint="eastAsia"/>
                <w:b/>
                <w:bCs/>
                <w:sz w:val="24"/>
                <w:szCs w:val="24"/>
              </w:rPr>
              <w:t>延原因</w:t>
            </w:r>
            <w:proofErr w:type="gramEnd"/>
            <w:r>
              <w:rPr>
                <w:rFonts w:ascii="宋体" w:eastAsia="宋体" w:hAnsi="宋体" w:hint="eastAsia"/>
                <w:b/>
                <w:bCs/>
                <w:sz w:val="24"/>
                <w:szCs w:val="24"/>
              </w:rPr>
              <w:t>是什么及对公司业绩影响？</w:t>
            </w:r>
          </w:p>
          <w:p w14:paraId="093AAF25" w14:textId="77777777" w:rsidR="005672B6" w:rsidRDefault="00F02CBC">
            <w:pPr>
              <w:widowControl/>
              <w:spacing w:line="360" w:lineRule="auto"/>
              <w:rPr>
                <w:rFonts w:ascii="宋体" w:eastAsia="宋体" w:hAnsi="宋体"/>
                <w:sz w:val="24"/>
                <w:szCs w:val="24"/>
              </w:rPr>
            </w:pPr>
            <w:proofErr w:type="gramStart"/>
            <w:r>
              <w:rPr>
                <w:rFonts w:ascii="宋体" w:eastAsia="宋体" w:hAnsi="宋体" w:hint="eastAsia"/>
                <w:sz w:val="24"/>
                <w:szCs w:val="24"/>
              </w:rPr>
              <w:t>募投项目</w:t>
            </w:r>
            <w:proofErr w:type="gramEnd"/>
            <w:r>
              <w:rPr>
                <w:rFonts w:ascii="宋体" w:eastAsia="宋体" w:hAnsi="宋体" w:hint="eastAsia"/>
                <w:sz w:val="24"/>
                <w:szCs w:val="24"/>
              </w:rPr>
              <w:t>延期是结合项目建设实际进展和当前市场环境等综合情况</w:t>
            </w:r>
            <w:proofErr w:type="gramStart"/>
            <w:r>
              <w:rPr>
                <w:rFonts w:ascii="宋体" w:eastAsia="宋体" w:hAnsi="宋体" w:hint="eastAsia"/>
                <w:sz w:val="24"/>
                <w:szCs w:val="24"/>
              </w:rPr>
              <w:t>作出</w:t>
            </w:r>
            <w:proofErr w:type="gramEnd"/>
            <w:r>
              <w:rPr>
                <w:rFonts w:ascii="宋体" w:eastAsia="宋体" w:hAnsi="宋体" w:hint="eastAsia"/>
                <w:sz w:val="24"/>
                <w:szCs w:val="24"/>
              </w:rPr>
              <w:t>的审慎决定。本次项目延期是为了更好地保证</w:t>
            </w:r>
            <w:proofErr w:type="gramStart"/>
            <w:r>
              <w:rPr>
                <w:rFonts w:ascii="宋体" w:eastAsia="宋体" w:hAnsi="宋体" w:hint="eastAsia"/>
                <w:sz w:val="24"/>
                <w:szCs w:val="24"/>
              </w:rPr>
              <w:t>募</w:t>
            </w:r>
            <w:proofErr w:type="gramEnd"/>
            <w:r>
              <w:rPr>
                <w:rFonts w:ascii="宋体" w:eastAsia="宋体" w:hAnsi="宋体" w:hint="eastAsia"/>
                <w:sz w:val="24"/>
                <w:szCs w:val="24"/>
              </w:rPr>
              <w:t>投资金的使用效率和安全。本次</w:t>
            </w:r>
            <w:proofErr w:type="gramStart"/>
            <w:r>
              <w:rPr>
                <w:rFonts w:ascii="宋体" w:eastAsia="宋体" w:hAnsi="宋体" w:hint="eastAsia"/>
                <w:sz w:val="24"/>
                <w:szCs w:val="24"/>
              </w:rPr>
              <w:t>募投项目</w:t>
            </w:r>
            <w:proofErr w:type="gramEnd"/>
            <w:r>
              <w:rPr>
                <w:rFonts w:ascii="宋体" w:eastAsia="宋体" w:hAnsi="宋体" w:hint="eastAsia"/>
                <w:sz w:val="24"/>
                <w:szCs w:val="24"/>
              </w:rPr>
              <w:t>延期使项目预计收益相应延期，短期或将对公司业绩产生一定的不确定性，但不会对本项目的实施造成实质性影响，因此，不会对公司的正常经营产生不利影响，符合公司未来发展需要和股东的长远利益。公司将严格遵</w:t>
            </w:r>
            <w:r>
              <w:rPr>
                <w:rFonts w:ascii="宋体" w:eastAsia="宋体" w:hAnsi="宋体" w:hint="eastAsia"/>
                <w:sz w:val="24"/>
                <w:szCs w:val="24"/>
              </w:rPr>
              <w:lastRenderedPageBreak/>
              <w:t>守《募集资金使用管理办法》，加强募集资金使用的监督，确保募集资金的合法有效，有序推进</w:t>
            </w:r>
            <w:proofErr w:type="gramStart"/>
            <w:r>
              <w:rPr>
                <w:rFonts w:ascii="宋体" w:eastAsia="宋体" w:hAnsi="宋体" w:hint="eastAsia"/>
                <w:sz w:val="24"/>
                <w:szCs w:val="24"/>
              </w:rPr>
              <w:t>募投项目</w:t>
            </w:r>
            <w:proofErr w:type="gramEnd"/>
            <w:r>
              <w:rPr>
                <w:rFonts w:ascii="宋体" w:eastAsia="宋体" w:hAnsi="宋体" w:hint="eastAsia"/>
                <w:sz w:val="24"/>
                <w:szCs w:val="24"/>
              </w:rPr>
              <w:t>的后续实施。</w:t>
            </w:r>
          </w:p>
          <w:p w14:paraId="19FC3572" w14:textId="77777777" w:rsidR="005672B6" w:rsidRDefault="00F02CBC">
            <w:pPr>
              <w:widowControl/>
              <w:numPr>
                <w:ilvl w:val="0"/>
                <w:numId w:val="2"/>
              </w:numPr>
              <w:spacing w:line="360" w:lineRule="auto"/>
              <w:rPr>
                <w:rFonts w:ascii="宋体" w:eastAsia="宋体" w:hAnsi="宋体"/>
                <w:b/>
                <w:bCs/>
                <w:sz w:val="24"/>
                <w:szCs w:val="24"/>
              </w:rPr>
            </w:pPr>
            <w:r>
              <w:rPr>
                <w:rFonts w:ascii="宋体" w:eastAsia="宋体" w:hAnsi="宋体" w:hint="eastAsia"/>
                <w:b/>
                <w:bCs/>
                <w:sz w:val="24"/>
                <w:szCs w:val="24"/>
              </w:rPr>
              <w:t>公司在2024年上海SEMICON半导体展会上展出了1000kg级晶体，这类大公斤级晶体的下游市场需求空间怎么样，对公司蓝宝石晶体材料业务收入未来贡献怎样？</w:t>
            </w:r>
          </w:p>
          <w:p w14:paraId="40B920D0" w14:textId="4776DD3F" w:rsidR="005672B6" w:rsidRDefault="00F02CBC">
            <w:pPr>
              <w:widowControl/>
              <w:spacing w:line="360" w:lineRule="auto"/>
              <w:rPr>
                <w:rFonts w:ascii="宋体" w:eastAsia="宋体" w:hAnsi="宋体"/>
                <w:sz w:val="24"/>
                <w:szCs w:val="24"/>
              </w:rPr>
            </w:pPr>
            <w:r>
              <w:rPr>
                <w:rFonts w:ascii="宋体" w:eastAsia="宋体" w:hAnsi="宋体" w:hint="eastAsia"/>
                <w:sz w:val="24"/>
                <w:szCs w:val="24"/>
              </w:rPr>
              <w:t>公司已经形成自有的大尺寸蓝宝石生长工艺技术和切磨抛技术，开发高品质蓝宝石衬底，已掌握可稳定产出1000kg级蓝宝石晶体能力，为国内大尺寸蓝宝石晶体产业化奠定基础，产品广泛应用于工业、集成电路、智能手机终端、新一代Micro LED显示技术领域。公司拥有独特的长晶技术，并在大尺寸长</w:t>
            </w:r>
            <w:proofErr w:type="gramStart"/>
            <w:r>
              <w:rPr>
                <w:rFonts w:ascii="宋体" w:eastAsia="宋体" w:hAnsi="宋体" w:hint="eastAsia"/>
                <w:sz w:val="24"/>
                <w:szCs w:val="24"/>
              </w:rPr>
              <w:t>晶技术</w:t>
            </w:r>
            <w:proofErr w:type="gramEnd"/>
            <w:r>
              <w:rPr>
                <w:rFonts w:ascii="宋体" w:eastAsia="宋体" w:hAnsi="宋体" w:hint="eastAsia"/>
                <w:sz w:val="24"/>
                <w:szCs w:val="24"/>
              </w:rPr>
              <w:t>上积累了丰富经验。这使得公司在蓝宝石晶体材料的生产上具有技术优势。通过不断的投资和扩产，正在提升其在蓝宝石材料上的产业优势，巩固其在市场中的知名度和市场占有率。由于技术门槛越来越高，国内的蓝宝石生产企业也正在面临优胜劣汰的洗牌过程。目前公司总体蓝宝石产销平衡，</w:t>
            </w:r>
            <w:proofErr w:type="gramStart"/>
            <w:r>
              <w:rPr>
                <w:rFonts w:ascii="宋体" w:eastAsia="宋体" w:hAnsi="宋体" w:hint="eastAsia"/>
                <w:sz w:val="24"/>
                <w:szCs w:val="24"/>
              </w:rPr>
              <w:t>市占率持续</w:t>
            </w:r>
            <w:proofErr w:type="gramEnd"/>
            <w:r>
              <w:rPr>
                <w:rFonts w:ascii="宋体" w:eastAsia="宋体" w:hAnsi="宋体" w:hint="eastAsia"/>
                <w:sz w:val="24"/>
                <w:szCs w:val="24"/>
              </w:rPr>
              <w:t>增长。</w:t>
            </w:r>
          </w:p>
          <w:p w14:paraId="7BF89E9A" w14:textId="77777777" w:rsidR="005672B6" w:rsidRDefault="00F02CBC">
            <w:pPr>
              <w:widowControl/>
              <w:numPr>
                <w:ilvl w:val="0"/>
                <w:numId w:val="2"/>
              </w:numPr>
              <w:spacing w:line="360" w:lineRule="auto"/>
              <w:rPr>
                <w:rFonts w:ascii="宋体" w:eastAsia="宋体" w:hAnsi="宋体"/>
                <w:b/>
                <w:bCs/>
                <w:sz w:val="24"/>
                <w:szCs w:val="24"/>
              </w:rPr>
            </w:pPr>
            <w:r>
              <w:rPr>
                <w:rFonts w:ascii="宋体" w:eastAsia="宋体" w:hAnsi="宋体" w:hint="eastAsia"/>
                <w:b/>
                <w:bCs/>
                <w:sz w:val="24"/>
                <w:szCs w:val="24"/>
              </w:rPr>
              <w:t>薄膜铌酸锂调制器行业未来增长空间潜力巨大，</w:t>
            </w:r>
            <w:proofErr w:type="gramStart"/>
            <w:r>
              <w:rPr>
                <w:rFonts w:ascii="宋体" w:eastAsia="宋体" w:hAnsi="宋体" w:hint="eastAsia"/>
                <w:b/>
                <w:bCs/>
                <w:sz w:val="24"/>
                <w:szCs w:val="24"/>
              </w:rPr>
              <w:t>公司募投的</w:t>
            </w:r>
            <w:proofErr w:type="gramEnd"/>
            <w:r>
              <w:rPr>
                <w:rFonts w:ascii="宋体" w:eastAsia="宋体" w:hAnsi="宋体" w:hint="eastAsia"/>
                <w:b/>
                <w:bCs/>
                <w:sz w:val="24"/>
                <w:szCs w:val="24"/>
              </w:rPr>
              <w:t>大尺寸射频压电晶</w:t>
            </w:r>
            <w:proofErr w:type="gramStart"/>
            <w:r>
              <w:rPr>
                <w:rFonts w:ascii="宋体" w:eastAsia="宋体" w:hAnsi="宋体" w:hint="eastAsia"/>
                <w:b/>
                <w:bCs/>
                <w:sz w:val="24"/>
                <w:szCs w:val="24"/>
              </w:rPr>
              <w:t>圆项目</w:t>
            </w:r>
            <w:proofErr w:type="gramEnd"/>
            <w:r>
              <w:rPr>
                <w:rFonts w:ascii="宋体" w:eastAsia="宋体" w:hAnsi="宋体" w:hint="eastAsia"/>
                <w:b/>
                <w:bCs/>
                <w:sz w:val="24"/>
                <w:szCs w:val="24"/>
              </w:rPr>
              <w:t>进度能否及时对接电光调制器的市场需求？</w:t>
            </w:r>
          </w:p>
          <w:p w14:paraId="364B940A" w14:textId="4ABD2CC2" w:rsidR="005672B6" w:rsidRDefault="00F02CBC">
            <w:pPr>
              <w:widowControl/>
              <w:spacing w:line="360" w:lineRule="auto"/>
              <w:rPr>
                <w:rFonts w:ascii="宋体" w:eastAsia="宋体" w:hAnsi="宋体"/>
                <w:sz w:val="24"/>
                <w:szCs w:val="24"/>
              </w:rPr>
            </w:pPr>
            <w:r>
              <w:rPr>
                <w:rFonts w:ascii="宋体" w:eastAsia="宋体" w:hAnsi="宋体" w:hint="eastAsia"/>
                <w:sz w:val="24"/>
                <w:szCs w:val="24"/>
              </w:rPr>
              <w:t>从产业规律看，电子元器件的创新升级主要依靠封装工艺优化和材料进步带来的提升，LPO、CPO、硅光和薄膜铌酸锂方案有望成为解决该系列问题的突破口。其中，薄膜铌酸锂作为新一代的创新材料，正处于批量导入的前夜。从供应</w:t>
            </w:r>
            <w:proofErr w:type="gramStart"/>
            <w:r>
              <w:rPr>
                <w:rFonts w:ascii="宋体" w:eastAsia="宋体" w:hAnsi="宋体" w:hint="eastAsia"/>
                <w:sz w:val="24"/>
                <w:szCs w:val="24"/>
              </w:rPr>
              <w:t>链安全</w:t>
            </w:r>
            <w:proofErr w:type="gramEnd"/>
            <w:r w:rsidR="00A21066">
              <w:rPr>
                <w:rFonts w:ascii="宋体" w:eastAsia="宋体" w:hAnsi="宋体" w:hint="eastAsia"/>
                <w:sz w:val="24"/>
                <w:szCs w:val="24"/>
              </w:rPr>
              <w:t>和国产替代的角度出发，铌酸锂单晶国产替代进程同样处于快速推进。公</w:t>
            </w:r>
            <w:r>
              <w:rPr>
                <w:rFonts w:ascii="宋体" w:eastAsia="宋体" w:hAnsi="宋体" w:hint="eastAsia"/>
                <w:sz w:val="24"/>
                <w:szCs w:val="24"/>
              </w:rPr>
              <w:t>司已于2023年5月实现铌酸锂大尺寸晶片的正式量产。接下来具体的项目投入将根据下游市场发展情况保持技术优势并逐步释放产能。</w:t>
            </w:r>
          </w:p>
          <w:p w14:paraId="610A5A93" w14:textId="77777777" w:rsidR="005672B6" w:rsidRDefault="00F02CBC">
            <w:pPr>
              <w:widowControl/>
              <w:numPr>
                <w:ilvl w:val="0"/>
                <w:numId w:val="2"/>
              </w:numPr>
              <w:spacing w:line="360" w:lineRule="auto"/>
              <w:rPr>
                <w:rFonts w:ascii="宋体" w:eastAsia="宋体" w:hAnsi="宋体"/>
                <w:b/>
                <w:bCs/>
                <w:sz w:val="24"/>
                <w:szCs w:val="24"/>
              </w:rPr>
            </w:pPr>
            <w:r>
              <w:rPr>
                <w:rFonts w:ascii="宋体" w:eastAsia="宋体" w:hAnsi="宋体" w:hint="eastAsia"/>
                <w:b/>
                <w:bCs/>
                <w:sz w:val="24"/>
                <w:szCs w:val="24"/>
              </w:rPr>
              <w:t>公司坚持每年分红，未来项目</w:t>
            </w:r>
            <w:proofErr w:type="gramStart"/>
            <w:r>
              <w:rPr>
                <w:rFonts w:ascii="宋体" w:eastAsia="宋体" w:hAnsi="宋体" w:hint="eastAsia"/>
                <w:b/>
                <w:bCs/>
                <w:sz w:val="24"/>
                <w:szCs w:val="24"/>
              </w:rPr>
              <w:t>募</w:t>
            </w:r>
            <w:proofErr w:type="gramEnd"/>
            <w:r>
              <w:rPr>
                <w:rFonts w:ascii="宋体" w:eastAsia="宋体" w:hAnsi="宋体" w:hint="eastAsia"/>
                <w:b/>
                <w:bCs/>
                <w:sz w:val="24"/>
                <w:szCs w:val="24"/>
              </w:rPr>
              <w:t>投产结束后，是否会加大分红比例？</w:t>
            </w:r>
          </w:p>
          <w:p w14:paraId="204726B4" w14:textId="20FB5F2A" w:rsidR="005672B6" w:rsidRDefault="00F02CBC">
            <w:pPr>
              <w:widowControl/>
              <w:spacing w:line="360" w:lineRule="auto"/>
              <w:rPr>
                <w:rFonts w:ascii="宋体" w:eastAsia="宋体" w:hAnsi="宋体"/>
                <w:sz w:val="24"/>
                <w:szCs w:val="24"/>
              </w:rPr>
            </w:pPr>
            <w:r>
              <w:rPr>
                <w:rFonts w:ascii="宋体" w:eastAsia="宋体" w:hAnsi="宋体" w:hint="eastAsia"/>
                <w:sz w:val="24"/>
                <w:szCs w:val="24"/>
              </w:rPr>
              <w:lastRenderedPageBreak/>
              <w:t>公司自上市以来已实施了4次资本公积金转增股本、16次现金分红，2023年度公司的现金分红总额占该年度归属于上市公司股东净利润的30.16%。未来项目</w:t>
            </w:r>
            <w:proofErr w:type="gramStart"/>
            <w:r>
              <w:rPr>
                <w:rFonts w:ascii="宋体" w:eastAsia="宋体" w:hAnsi="宋体" w:hint="eastAsia"/>
                <w:sz w:val="24"/>
                <w:szCs w:val="24"/>
              </w:rPr>
              <w:t>募</w:t>
            </w:r>
            <w:proofErr w:type="gramEnd"/>
            <w:r>
              <w:rPr>
                <w:rFonts w:ascii="宋体" w:eastAsia="宋体" w:hAnsi="宋体" w:hint="eastAsia"/>
                <w:sz w:val="24"/>
                <w:szCs w:val="24"/>
              </w:rPr>
              <w:t>投产结束后，公司将根据公司具体的经营状况以及上市公司相应的政策法规制定适宜的分红政策。</w:t>
            </w:r>
          </w:p>
          <w:p w14:paraId="1AA60530" w14:textId="77777777" w:rsidR="005672B6" w:rsidRDefault="00F02CBC">
            <w:pPr>
              <w:widowControl/>
              <w:numPr>
                <w:ilvl w:val="0"/>
                <w:numId w:val="2"/>
              </w:numPr>
              <w:spacing w:line="360" w:lineRule="auto"/>
              <w:rPr>
                <w:rFonts w:ascii="宋体" w:eastAsia="宋体" w:hAnsi="宋体"/>
                <w:b/>
                <w:bCs/>
                <w:sz w:val="24"/>
                <w:szCs w:val="24"/>
              </w:rPr>
            </w:pPr>
            <w:r>
              <w:rPr>
                <w:rFonts w:ascii="宋体" w:eastAsia="宋体" w:hAnsi="宋体" w:hint="eastAsia"/>
                <w:b/>
                <w:bCs/>
                <w:sz w:val="24"/>
                <w:szCs w:val="24"/>
              </w:rPr>
              <w:t>公司未来3-5年的发展战略?</w:t>
            </w:r>
          </w:p>
          <w:p w14:paraId="17ABACE6" w14:textId="14622369" w:rsidR="005672B6" w:rsidRDefault="00F02CBC">
            <w:pPr>
              <w:widowControl/>
              <w:spacing w:line="360" w:lineRule="auto"/>
              <w:rPr>
                <w:rFonts w:ascii="宋体" w:eastAsia="宋体" w:hAnsi="宋体"/>
                <w:sz w:val="24"/>
                <w:szCs w:val="24"/>
              </w:rPr>
            </w:pPr>
            <w:r>
              <w:rPr>
                <w:rFonts w:ascii="宋体" w:eastAsia="宋体" w:hAnsi="宋体" w:hint="eastAsia"/>
                <w:sz w:val="24"/>
                <w:szCs w:val="24"/>
              </w:rPr>
              <w:t>公司未来的发展方向是精细化运营，在此基础上围绕</w:t>
            </w:r>
            <w:r w:rsidR="007B4F3B">
              <w:rPr>
                <w:rFonts w:ascii="宋体" w:eastAsia="宋体" w:hAnsi="宋体" w:hint="eastAsia"/>
                <w:sz w:val="24"/>
                <w:szCs w:val="24"/>
              </w:rPr>
              <w:t>“</w:t>
            </w:r>
            <w:r>
              <w:rPr>
                <w:rFonts w:ascii="宋体" w:eastAsia="宋体" w:hAnsi="宋体" w:hint="eastAsia"/>
                <w:sz w:val="24"/>
                <w:szCs w:val="24"/>
              </w:rPr>
              <w:t>材料+设备</w:t>
            </w:r>
            <w:r w:rsidR="007B4F3B">
              <w:rPr>
                <w:rFonts w:ascii="宋体" w:eastAsia="宋体" w:hAnsi="宋体" w:hint="eastAsia"/>
                <w:sz w:val="24"/>
                <w:szCs w:val="24"/>
              </w:rPr>
              <w:t>”</w:t>
            </w:r>
            <w:r>
              <w:rPr>
                <w:rFonts w:ascii="宋体" w:eastAsia="宋体" w:hAnsi="宋体" w:hint="eastAsia"/>
                <w:sz w:val="24"/>
                <w:szCs w:val="24"/>
              </w:rPr>
              <w:t>双轮驱动的战略发</w:t>
            </w:r>
            <w:r w:rsidR="00A21066">
              <w:rPr>
                <w:rFonts w:ascii="宋体" w:eastAsia="宋体" w:hAnsi="宋体" w:hint="eastAsia"/>
                <w:sz w:val="24"/>
                <w:szCs w:val="24"/>
              </w:rPr>
              <w:t>展路径进行拓展。主营业务在相关多元化发展战略的支持下得以稳步提升</w:t>
            </w:r>
            <w:r>
              <w:rPr>
                <w:rFonts w:ascii="宋体" w:eastAsia="宋体" w:hAnsi="宋体" w:hint="eastAsia"/>
                <w:sz w:val="24"/>
                <w:szCs w:val="24"/>
              </w:rPr>
              <w:t>，目前产品和技术方面的核心竞争力主要依靠粉体和晶体的热场技术以及材料加工技术能力。其成本费用控制主要聚焦开发阶段的设计优化和量产阶段的质量改善、工艺优化</w:t>
            </w:r>
            <w:r w:rsidR="007B4F3B">
              <w:rPr>
                <w:rFonts w:ascii="宋体" w:eastAsia="宋体" w:hAnsi="宋体" w:hint="eastAsia"/>
                <w:sz w:val="24"/>
                <w:szCs w:val="24"/>
              </w:rPr>
              <w:t>，</w:t>
            </w:r>
            <w:r>
              <w:rPr>
                <w:rFonts w:ascii="宋体" w:eastAsia="宋体" w:hAnsi="宋体" w:hint="eastAsia"/>
                <w:sz w:val="24"/>
                <w:szCs w:val="24"/>
              </w:rPr>
              <w:t>以降低成本。公司将一如既往强化营销组织和队伍建设，大胆实施走出去市场策略，积极参加国际展览会，拓展海外市场，针对客户的信用动态做好全方位全过程的管理，并通过增大对普通投资者的宣传力度</w:t>
            </w:r>
            <w:r w:rsidR="007B4F3B">
              <w:rPr>
                <w:rFonts w:ascii="宋体" w:eastAsia="宋体" w:hAnsi="宋体" w:hint="eastAsia"/>
                <w:sz w:val="24"/>
                <w:szCs w:val="24"/>
              </w:rPr>
              <w:t>，以提高市场管理</w:t>
            </w:r>
            <w:r>
              <w:rPr>
                <w:rFonts w:ascii="宋体" w:eastAsia="宋体" w:hAnsi="宋体" w:hint="eastAsia"/>
                <w:sz w:val="24"/>
                <w:szCs w:val="24"/>
              </w:rPr>
              <w:t>效率和效果。</w:t>
            </w:r>
          </w:p>
          <w:p w14:paraId="28774F87" w14:textId="77777777" w:rsidR="005672B6" w:rsidRDefault="00F02CBC">
            <w:pPr>
              <w:widowControl/>
              <w:numPr>
                <w:ilvl w:val="0"/>
                <w:numId w:val="2"/>
              </w:numPr>
              <w:spacing w:line="360" w:lineRule="auto"/>
              <w:rPr>
                <w:rFonts w:ascii="宋体" w:eastAsia="宋体" w:hAnsi="宋体"/>
                <w:b/>
                <w:bCs/>
                <w:sz w:val="24"/>
                <w:szCs w:val="24"/>
              </w:rPr>
            </w:pPr>
            <w:r>
              <w:rPr>
                <w:rFonts w:ascii="宋体" w:eastAsia="宋体" w:hAnsi="宋体" w:hint="eastAsia"/>
                <w:b/>
                <w:bCs/>
                <w:sz w:val="24"/>
                <w:szCs w:val="24"/>
              </w:rPr>
              <w:t>费用</w:t>
            </w:r>
            <w:proofErr w:type="gramStart"/>
            <w:r>
              <w:rPr>
                <w:rFonts w:ascii="宋体" w:eastAsia="宋体" w:hAnsi="宋体" w:hint="eastAsia"/>
                <w:b/>
                <w:bCs/>
                <w:sz w:val="24"/>
                <w:szCs w:val="24"/>
              </w:rPr>
              <w:t>端一直</w:t>
            </w:r>
            <w:proofErr w:type="gramEnd"/>
            <w:r>
              <w:rPr>
                <w:rFonts w:ascii="宋体" w:eastAsia="宋体" w:hAnsi="宋体" w:hint="eastAsia"/>
                <w:b/>
                <w:bCs/>
                <w:sz w:val="24"/>
                <w:szCs w:val="24"/>
              </w:rPr>
              <w:t>以来比较稳定，是否会延续?</w:t>
            </w:r>
          </w:p>
          <w:p w14:paraId="755D66DF" w14:textId="7CA0C57C" w:rsidR="005672B6" w:rsidRDefault="007B4F3B">
            <w:pPr>
              <w:widowControl/>
              <w:spacing w:line="360" w:lineRule="auto"/>
              <w:rPr>
                <w:rFonts w:ascii="宋体" w:eastAsia="宋体" w:hAnsi="宋体"/>
                <w:sz w:val="24"/>
                <w:szCs w:val="24"/>
              </w:rPr>
            </w:pPr>
            <w:r>
              <w:rPr>
                <w:rFonts w:ascii="宋体" w:eastAsia="宋体" w:hAnsi="宋体" w:hint="eastAsia"/>
                <w:sz w:val="24"/>
                <w:szCs w:val="24"/>
              </w:rPr>
              <w:t>公司在成本费用控制方面，主要聚焦设计优化、质量改善和</w:t>
            </w:r>
            <w:r w:rsidR="00F02CBC">
              <w:rPr>
                <w:rFonts w:ascii="宋体" w:eastAsia="宋体" w:hAnsi="宋体" w:hint="eastAsia"/>
                <w:sz w:val="24"/>
                <w:szCs w:val="24"/>
              </w:rPr>
              <w:t>工艺优化，近年来自动化投入提升人员效率，对成本改善有正向推动。未来公司</w:t>
            </w:r>
            <w:r>
              <w:rPr>
                <w:rFonts w:ascii="宋体" w:eastAsia="宋体" w:hAnsi="宋体" w:hint="eastAsia"/>
                <w:sz w:val="24"/>
                <w:szCs w:val="24"/>
              </w:rPr>
              <w:t>将</w:t>
            </w:r>
            <w:r w:rsidR="00F02CBC">
              <w:rPr>
                <w:rFonts w:ascii="宋体" w:eastAsia="宋体" w:hAnsi="宋体" w:hint="eastAsia"/>
                <w:sz w:val="24"/>
                <w:szCs w:val="24"/>
              </w:rPr>
              <w:t>持续推进降本增效，管</w:t>
            </w:r>
            <w:proofErr w:type="gramStart"/>
            <w:r w:rsidR="00F02CBC">
              <w:rPr>
                <w:rFonts w:ascii="宋体" w:eastAsia="宋体" w:hAnsi="宋体" w:hint="eastAsia"/>
                <w:sz w:val="24"/>
                <w:szCs w:val="24"/>
              </w:rPr>
              <w:t>控费用</w:t>
            </w:r>
            <w:proofErr w:type="gramEnd"/>
            <w:r w:rsidR="00F02CBC">
              <w:rPr>
                <w:rFonts w:ascii="宋体" w:eastAsia="宋体" w:hAnsi="宋体" w:hint="eastAsia"/>
                <w:sz w:val="24"/>
                <w:szCs w:val="24"/>
              </w:rPr>
              <w:t>成本的合理支出。</w:t>
            </w:r>
          </w:p>
          <w:p w14:paraId="09E5B11E" w14:textId="77777777" w:rsidR="005672B6" w:rsidRDefault="00F02CBC">
            <w:pPr>
              <w:widowControl/>
              <w:numPr>
                <w:ilvl w:val="0"/>
                <w:numId w:val="2"/>
              </w:numPr>
              <w:spacing w:line="360" w:lineRule="auto"/>
              <w:rPr>
                <w:rFonts w:ascii="宋体" w:eastAsia="宋体" w:hAnsi="宋体"/>
                <w:b/>
                <w:bCs/>
                <w:sz w:val="24"/>
                <w:szCs w:val="24"/>
              </w:rPr>
            </w:pPr>
            <w:r>
              <w:rPr>
                <w:rFonts w:ascii="宋体" w:eastAsia="宋体" w:hAnsi="宋体" w:hint="eastAsia"/>
                <w:b/>
                <w:bCs/>
                <w:sz w:val="24"/>
                <w:szCs w:val="24"/>
              </w:rPr>
              <w:t>不同领域的研发投入占比?</w:t>
            </w:r>
          </w:p>
          <w:p w14:paraId="304B9D1B" w14:textId="2D2686B9" w:rsidR="005672B6" w:rsidRDefault="00F02CBC">
            <w:pPr>
              <w:widowControl/>
              <w:spacing w:line="360" w:lineRule="auto"/>
              <w:rPr>
                <w:rFonts w:ascii="宋体" w:eastAsia="宋体" w:hAnsi="宋体"/>
                <w:sz w:val="24"/>
                <w:szCs w:val="24"/>
              </w:rPr>
            </w:pPr>
            <w:r>
              <w:rPr>
                <w:rFonts w:ascii="宋体" w:eastAsia="宋体" w:hAnsi="宋体" w:hint="eastAsia"/>
                <w:sz w:val="24"/>
                <w:szCs w:val="24"/>
              </w:rPr>
              <w:t>公司的研发项目围绕以“电子材料为核心，推动电子材料与智能装备协同发展”的战略方针进行开展，主要聚焦磁性材料、晶体材料及相关领域的专用设备研发。2023年全年，公司研发费用投入营收占比为6.83%</w:t>
            </w:r>
            <w:r w:rsidR="00A21066">
              <w:rPr>
                <w:rFonts w:ascii="宋体" w:eastAsia="宋体" w:hAnsi="宋体" w:hint="eastAsia"/>
                <w:sz w:val="24"/>
                <w:szCs w:val="24"/>
              </w:rPr>
              <w:t>，</w:t>
            </w:r>
            <w:r>
              <w:rPr>
                <w:rFonts w:ascii="宋体" w:eastAsia="宋体" w:hAnsi="宋体" w:hint="eastAsia"/>
                <w:sz w:val="24"/>
                <w:szCs w:val="24"/>
              </w:rPr>
              <w:t>其中电子材料业务板块研发投入相较专用装备制造更高一些。</w:t>
            </w:r>
          </w:p>
          <w:p w14:paraId="7962B49B" w14:textId="77777777" w:rsidR="005672B6" w:rsidRDefault="00F02CBC">
            <w:pPr>
              <w:widowControl/>
              <w:numPr>
                <w:ilvl w:val="0"/>
                <w:numId w:val="2"/>
              </w:numPr>
              <w:spacing w:line="360" w:lineRule="auto"/>
              <w:rPr>
                <w:rFonts w:ascii="宋体" w:eastAsia="宋体" w:hAnsi="宋体"/>
                <w:b/>
                <w:bCs/>
                <w:sz w:val="24"/>
                <w:szCs w:val="24"/>
              </w:rPr>
            </w:pPr>
            <w:r>
              <w:rPr>
                <w:rFonts w:ascii="宋体" w:eastAsia="宋体" w:hAnsi="宋体" w:hint="eastAsia"/>
                <w:b/>
                <w:bCs/>
                <w:sz w:val="24"/>
                <w:szCs w:val="24"/>
              </w:rPr>
              <w:t>账上资金比较多，是否后续有并购计划?</w:t>
            </w:r>
          </w:p>
          <w:p w14:paraId="59162DC6" w14:textId="7CEE406E" w:rsidR="005672B6" w:rsidRDefault="00F02CBC">
            <w:pPr>
              <w:widowControl/>
              <w:spacing w:line="360" w:lineRule="auto"/>
              <w:rPr>
                <w:rFonts w:ascii="宋体" w:eastAsia="宋体" w:hAnsi="宋体"/>
                <w:sz w:val="24"/>
                <w:szCs w:val="24"/>
              </w:rPr>
            </w:pPr>
            <w:r>
              <w:rPr>
                <w:rFonts w:ascii="宋体" w:eastAsia="宋体" w:hAnsi="宋体" w:hint="eastAsia"/>
                <w:sz w:val="24"/>
                <w:szCs w:val="24"/>
              </w:rPr>
              <w:t>公司坚持围绕主业做升级，不盲目跨界，走产业链垂直整合的发展路线，围绕主业进行了相关多元化，横向从磁性材料拓展到晶</w:t>
            </w:r>
            <w:r>
              <w:rPr>
                <w:rFonts w:ascii="宋体" w:eastAsia="宋体" w:hAnsi="宋体" w:hint="eastAsia"/>
                <w:sz w:val="24"/>
                <w:szCs w:val="24"/>
              </w:rPr>
              <w:lastRenderedPageBreak/>
              <w:t>体材料，纵向从电子材料向上游电子专用装备和下游电子器件拓展，不断“拓宽、拓深主航道”。相关多元化发展战略为公司的发展注入了活力，形成了电子信息材料</w:t>
            </w:r>
            <w:r w:rsidR="007B4F3B">
              <w:rPr>
                <w:rFonts w:ascii="宋体" w:eastAsia="宋体" w:hAnsi="宋体" w:hint="eastAsia"/>
                <w:sz w:val="24"/>
                <w:szCs w:val="24"/>
              </w:rPr>
              <w:t>—</w:t>
            </w:r>
            <w:r>
              <w:rPr>
                <w:rFonts w:ascii="宋体" w:eastAsia="宋体" w:hAnsi="宋体" w:hint="eastAsia"/>
                <w:sz w:val="24"/>
                <w:szCs w:val="24"/>
              </w:rPr>
              <w:t>电子专用装备</w:t>
            </w:r>
            <w:r w:rsidR="007B4F3B">
              <w:rPr>
                <w:rFonts w:ascii="宋体" w:eastAsia="宋体" w:hAnsi="宋体" w:hint="eastAsia"/>
                <w:sz w:val="24"/>
                <w:szCs w:val="24"/>
              </w:rPr>
              <w:t>—</w:t>
            </w:r>
            <w:r>
              <w:rPr>
                <w:rFonts w:ascii="宋体" w:eastAsia="宋体" w:hAnsi="宋体" w:hint="eastAsia"/>
                <w:sz w:val="24"/>
                <w:szCs w:val="24"/>
              </w:rPr>
              <w:t>电子器件模组的产业生态链。基于谨慎态度以及为公司高质量赋能，公司会结合产品质量、客户渠道、政策环境等多重因素，持续关注产业链合适标的。</w:t>
            </w:r>
          </w:p>
          <w:p w14:paraId="783B4D9F" w14:textId="77777777" w:rsidR="005672B6" w:rsidRDefault="00F02CBC">
            <w:pPr>
              <w:widowControl/>
              <w:numPr>
                <w:ilvl w:val="0"/>
                <w:numId w:val="2"/>
              </w:numPr>
              <w:spacing w:line="360" w:lineRule="auto"/>
              <w:rPr>
                <w:rFonts w:ascii="宋体" w:eastAsia="宋体" w:hAnsi="宋体"/>
                <w:b/>
                <w:bCs/>
                <w:sz w:val="24"/>
                <w:szCs w:val="24"/>
              </w:rPr>
            </w:pPr>
            <w:r>
              <w:rPr>
                <w:rFonts w:ascii="宋体" w:eastAsia="宋体" w:hAnsi="宋体" w:hint="eastAsia"/>
                <w:b/>
                <w:bCs/>
                <w:sz w:val="24"/>
                <w:szCs w:val="24"/>
              </w:rPr>
              <w:t>应收账款较多?</w:t>
            </w:r>
            <w:proofErr w:type="gramStart"/>
            <w:r>
              <w:rPr>
                <w:rFonts w:ascii="宋体" w:eastAsia="宋体" w:hAnsi="宋体" w:hint="eastAsia"/>
                <w:b/>
                <w:bCs/>
                <w:sz w:val="24"/>
                <w:szCs w:val="24"/>
              </w:rPr>
              <w:t>账期多久</w:t>
            </w:r>
            <w:proofErr w:type="gramEnd"/>
            <w:r>
              <w:rPr>
                <w:rFonts w:ascii="宋体" w:eastAsia="宋体" w:hAnsi="宋体" w:hint="eastAsia"/>
                <w:b/>
                <w:bCs/>
                <w:sz w:val="24"/>
                <w:szCs w:val="24"/>
              </w:rPr>
              <w:t>?减值风险怎么看?</w:t>
            </w:r>
          </w:p>
          <w:p w14:paraId="772D9BF4" w14:textId="0302724B" w:rsidR="005672B6" w:rsidRDefault="00083648">
            <w:pPr>
              <w:widowControl/>
              <w:spacing w:line="360" w:lineRule="auto"/>
              <w:rPr>
                <w:rFonts w:ascii="宋体" w:eastAsia="宋体" w:hAnsi="宋体"/>
                <w:sz w:val="24"/>
                <w:szCs w:val="24"/>
              </w:rPr>
            </w:pPr>
            <w:r>
              <w:rPr>
                <w:rFonts w:ascii="宋体" w:eastAsia="宋体" w:hAnsi="宋体" w:hint="eastAsia"/>
                <w:sz w:val="24"/>
                <w:szCs w:val="24"/>
              </w:rPr>
              <w:t>电子材料收入同比上涨使得应收账款也略有增长；</w:t>
            </w:r>
            <w:r w:rsidR="00F02CBC">
              <w:rPr>
                <w:rFonts w:ascii="宋体" w:eastAsia="宋体" w:hAnsi="宋体" w:hint="eastAsia"/>
                <w:sz w:val="24"/>
                <w:szCs w:val="24"/>
              </w:rPr>
              <w:t>装备产业因行业特性原因，应收账期相对较长，并且受光</w:t>
            </w:r>
            <w:proofErr w:type="gramStart"/>
            <w:r w:rsidR="00F02CBC">
              <w:rPr>
                <w:rFonts w:ascii="宋体" w:eastAsia="宋体" w:hAnsi="宋体" w:hint="eastAsia"/>
                <w:sz w:val="24"/>
                <w:szCs w:val="24"/>
              </w:rPr>
              <w:t>伏市场</w:t>
            </w:r>
            <w:proofErr w:type="gramEnd"/>
            <w:r w:rsidR="00F02CBC">
              <w:rPr>
                <w:rFonts w:ascii="宋体" w:eastAsia="宋体" w:hAnsi="宋体" w:hint="eastAsia"/>
                <w:sz w:val="24"/>
                <w:szCs w:val="24"/>
              </w:rPr>
              <w:t>大环境影响，光</w:t>
            </w:r>
            <w:proofErr w:type="gramStart"/>
            <w:r w:rsidR="00F02CBC">
              <w:rPr>
                <w:rFonts w:ascii="宋体" w:eastAsia="宋体" w:hAnsi="宋体" w:hint="eastAsia"/>
                <w:sz w:val="24"/>
                <w:szCs w:val="24"/>
              </w:rPr>
              <w:t>伏客户</w:t>
            </w:r>
            <w:proofErr w:type="gramEnd"/>
            <w:r w:rsidR="00F02CBC">
              <w:rPr>
                <w:rFonts w:ascii="宋体" w:eastAsia="宋体" w:hAnsi="宋体" w:hint="eastAsia"/>
                <w:sz w:val="24"/>
                <w:szCs w:val="24"/>
              </w:rPr>
              <w:t>采取更加谨慎的付款政策，影响部分客户收款进度。公司定期对重要应收账款进行管控，及时跟进回款情况。</w:t>
            </w:r>
          </w:p>
          <w:p w14:paraId="28136E33" w14:textId="77777777" w:rsidR="005672B6" w:rsidRDefault="00F02CBC">
            <w:pPr>
              <w:widowControl/>
              <w:numPr>
                <w:ilvl w:val="0"/>
                <w:numId w:val="2"/>
              </w:numPr>
              <w:spacing w:line="360" w:lineRule="auto"/>
              <w:rPr>
                <w:rFonts w:ascii="宋体" w:eastAsia="宋体" w:hAnsi="宋体"/>
                <w:b/>
                <w:bCs/>
                <w:sz w:val="24"/>
                <w:szCs w:val="24"/>
              </w:rPr>
            </w:pPr>
            <w:r>
              <w:rPr>
                <w:rFonts w:ascii="宋体" w:eastAsia="宋体" w:hAnsi="宋体" w:hint="eastAsia"/>
                <w:b/>
                <w:bCs/>
                <w:sz w:val="24"/>
                <w:szCs w:val="24"/>
              </w:rPr>
              <w:t>在建工程较多，主要是哪些项目?预计什么时候</w:t>
            </w:r>
            <w:proofErr w:type="gramStart"/>
            <w:r>
              <w:rPr>
                <w:rFonts w:ascii="宋体" w:eastAsia="宋体" w:hAnsi="宋体" w:hint="eastAsia"/>
                <w:b/>
                <w:bCs/>
                <w:sz w:val="24"/>
                <w:szCs w:val="24"/>
              </w:rPr>
              <w:t>开始转固</w:t>
            </w:r>
            <w:proofErr w:type="gramEnd"/>
            <w:r>
              <w:rPr>
                <w:rFonts w:ascii="宋体" w:eastAsia="宋体" w:hAnsi="宋体" w:hint="eastAsia"/>
                <w:b/>
                <w:bCs/>
                <w:sz w:val="24"/>
                <w:szCs w:val="24"/>
              </w:rPr>
              <w:t>?</w:t>
            </w:r>
          </w:p>
          <w:p w14:paraId="13B1277A" w14:textId="05FD1E27" w:rsidR="005672B6" w:rsidRDefault="00F02CBC">
            <w:pPr>
              <w:widowControl/>
              <w:spacing w:line="360" w:lineRule="auto"/>
              <w:rPr>
                <w:rFonts w:ascii="宋体" w:eastAsia="宋体" w:hAnsi="宋体"/>
                <w:sz w:val="24"/>
                <w:szCs w:val="24"/>
              </w:rPr>
            </w:pPr>
            <w:r>
              <w:rPr>
                <w:rFonts w:ascii="宋体" w:eastAsia="宋体" w:hAnsi="宋体" w:hint="eastAsia"/>
                <w:sz w:val="24"/>
                <w:szCs w:val="24"/>
              </w:rPr>
              <w:t>高性能软磁材料绿色制造项目、蓝宝石晶体制造与加工基地项目、年产25300吨高端磁性材料智能制造生产线项目投资、大尺寸射频压电晶圆项目、新型高效晶体生长及精密加工智能装备项目、</w:t>
            </w:r>
            <w:proofErr w:type="gramStart"/>
            <w:r>
              <w:rPr>
                <w:rFonts w:ascii="宋体" w:eastAsia="宋体" w:hAnsi="宋体" w:hint="eastAsia"/>
                <w:sz w:val="24"/>
                <w:szCs w:val="24"/>
              </w:rPr>
              <w:t>徐州天</w:t>
            </w:r>
            <w:proofErr w:type="gramEnd"/>
            <w:r>
              <w:rPr>
                <w:rFonts w:ascii="宋体" w:eastAsia="宋体" w:hAnsi="宋体" w:hint="eastAsia"/>
                <w:sz w:val="24"/>
                <w:szCs w:val="24"/>
              </w:rPr>
              <w:t>通科技产业基地二期厂房项目。在建</w:t>
            </w:r>
            <w:proofErr w:type="gramStart"/>
            <w:r>
              <w:rPr>
                <w:rFonts w:ascii="宋体" w:eastAsia="宋体" w:hAnsi="宋体" w:hint="eastAsia"/>
                <w:sz w:val="24"/>
                <w:szCs w:val="24"/>
              </w:rPr>
              <w:t>工程转固将</w:t>
            </w:r>
            <w:proofErr w:type="gramEnd"/>
            <w:r>
              <w:rPr>
                <w:rFonts w:ascii="宋体" w:eastAsia="宋体" w:hAnsi="宋体" w:hint="eastAsia"/>
                <w:sz w:val="24"/>
                <w:szCs w:val="24"/>
              </w:rPr>
              <w:t>根据项目具体情况而定。</w:t>
            </w:r>
          </w:p>
          <w:p w14:paraId="3B26A893" w14:textId="77777777" w:rsidR="005672B6" w:rsidRDefault="00F02CBC">
            <w:pPr>
              <w:widowControl/>
              <w:numPr>
                <w:ilvl w:val="0"/>
                <w:numId w:val="2"/>
              </w:numPr>
              <w:spacing w:line="360" w:lineRule="auto"/>
              <w:rPr>
                <w:rFonts w:ascii="宋体" w:eastAsia="宋体" w:hAnsi="宋体"/>
                <w:b/>
                <w:bCs/>
                <w:sz w:val="24"/>
                <w:szCs w:val="24"/>
              </w:rPr>
            </w:pPr>
            <w:r>
              <w:rPr>
                <w:rFonts w:ascii="宋体" w:eastAsia="宋体" w:hAnsi="宋体" w:hint="eastAsia"/>
                <w:b/>
                <w:bCs/>
                <w:sz w:val="24"/>
                <w:szCs w:val="24"/>
              </w:rPr>
              <w:t>不同材料业务的收入占比?毛利率拆分，以及下滑的主要原因?</w:t>
            </w:r>
          </w:p>
          <w:p w14:paraId="762FF919" w14:textId="0FC9D32C" w:rsidR="005672B6" w:rsidRDefault="00F02CBC">
            <w:pPr>
              <w:widowControl/>
              <w:spacing w:line="360" w:lineRule="auto"/>
              <w:rPr>
                <w:rFonts w:ascii="宋体" w:eastAsia="宋体" w:hAnsi="宋体"/>
                <w:sz w:val="24"/>
                <w:szCs w:val="24"/>
              </w:rPr>
            </w:pPr>
            <w:r>
              <w:rPr>
                <w:rFonts w:ascii="宋体" w:eastAsia="宋体" w:hAnsi="宋体" w:hint="eastAsia"/>
                <w:sz w:val="24"/>
                <w:szCs w:val="24"/>
              </w:rPr>
              <w:t>2023年全年，专用装备制造毛利率为25.4%，电子材料制造毛利率19.24%。2024年上述业务板块毛利率将会有一定的波动，最终以</w:t>
            </w:r>
            <w:r w:rsidR="007947BA">
              <w:rPr>
                <w:rFonts w:ascii="宋体" w:eastAsia="宋体" w:hAnsi="宋体" w:hint="eastAsia"/>
                <w:sz w:val="24"/>
                <w:szCs w:val="24"/>
              </w:rPr>
              <w:t>公司</w:t>
            </w:r>
            <w:r>
              <w:rPr>
                <w:rFonts w:ascii="宋体" w:eastAsia="宋体" w:hAnsi="宋体" w:hint="eastAsia"/>
                <w:sz w:val="24"/>
                <w:szCs w:val="24"/>
              </w:rPr>
              <w:t>定期报告披露信息为准。毛利率下滑原因各个业务板块有所不同，比如专用装备业务主要系智能装备产业</w:t>
            </w:r>
            <w:proofErr w:type="gramStart"/>
            <w:r>
              <w:rPr>
                <w:rFonts w:ascii="宋体" w:eastAsia="宋体" w:hAnsi="宋体" w:hint="eastAsia"/>
                <w:sz w:val="24"/>
                <w:szCs w:val="24"/>
              </w:rPr>
              <w:t>光伏长晶</w:t>
            </w:r>
            <w:proofErr w:type="gramEnd"/>
            <w:r>
              <w:rPr>
                <w:rFonts w:ascii="宋体" w:eastAsia="宋体" w:hAnsi="宋体" w:hint="eastAsia"/>
                <w:sz w:val="24"/>
                <w:szCs w:val="24"/>
              </w:rPr>
              <w:t>订单受行业产能过剩影响销售收入所致。</w:t>
            </w:r>
          </w:p>
          <w:p w14:paraId="139F8493" w14:textId="77777777" w:rsidR="005672B6" w:rsidRDefault="00F02CBC">
            <w:pPr>
              <w:widowControl/>
              <w:numPr>
                <w:ilvl w:val="0"/>
                <w:numId w:val="2"/>
              </w:numPr>
              <w:spacing w:line="360" w:lineRule="auto"/>
              <w:rPr>
                <w:rFonts w:ascii="宋体" w:eastAsia="宋体" w:hAnsi="宋体"/>
                <w:b/>
                <w:bCs/>
                <w:sz w:val="24"/>
                <w:szCs w:val="24"/>
              </w:rPr>
            </w:pPr>
            <w:r>
              <w:rPr>
                <w:rFonts w:ascii="宋体" w:eastAsia="宋体" w:hAnsi="宋体" w:hint="eastAsia"/>
                <w:b/>
                <w:bCs/>
                <w:sz w:val="24"/>
                <w:szCs w:val="24"/>
              </w:rPr>
              <w:t>蓝宝石行业是否触底?</w:t>
            </w:r>
            <w:proofErr w:type="spellStart"/>
            <w:r>
              <w:rPr>
                <w:rFonts w:ascii="宋体" w:eastAsia="宋体" w:hAnsi="宋体" w:hint="eastAsia"/>
                <w:b/>
                <w:bCs/>
                <w:sz w:val="24"/>
                <w:szCs w:val="24"/>
              </w:rPr>
              <w:t>miniled</w:t>
            </w:r>
            <w:proofErr w:type="spellEnd"/>
            <w:r>
              <w:rPr>
                <w:rFonts w:ascii="宋体" w:eastAsia="宋体" w:hAnsi="宋体" w:hint="eastAsia"/>
                <w:b/>
                <w:bCs/>
                <w:sz w:val="24"/>
                <w:szCs w:val="24"/>
              </w:rPr>
              <w:t>对行业的拉动如何?怎么看这块的价格展望?</w:t>
            </w:r>
          </w:p>
          <w:p w14:paraId="668DA10F" w14:textId="78A71952" w:rsidR="005672B6" w:rsidRDefault="00F02CBC">
            <w:pPr>
              <w:widowControl/>
              <w:spacing w:line="360" w:lineRule="auto"/>
              <w:rPr>
                <w:rFonts w:ascii="宋体" w:eastAsia="宋体" w:hAnsi="宋体"/>
                <w:sz w:val="24"/>
                <w:szCs w:val="24"/>
              </w:rPr>
            </w:pPr>
            <w:r>
              <w:rPr>
                <w:rFonts w:ascii="宋体" w:eastAsia="宋体" w:hAnsi="宋体" w:hint="eastAsia"/>
                <w:sz w:val="24"/>
                <w:szCs w:val="24"/>
              </w:rPr>
              <w:t>随着消费电子和</w:t>
            </w:r>
            <w:r w:rsidR="00083648">
              <w:rPr>
                <w:rFonts w:ascii="宋体" w:eastAsia="宋体" w:hAnsi="宋体" w:hint="eastAsia"/>
                <w:sz w:val="24"/>
                <w:szCs w:val="24"/>
              </w:rPr>
              <w:t>LED</w:t>
            </w:r>
            <w:r>
              <w:rPr>
                <w:rFonts w:ascii="宋体" w:eastAsia="宋体" w:hAnsi="宋体" w:hint="eastAsia"/>
                <w:sz w:val="24"/>
                <w:szCs w:val="24"/>
              </w:rPr>
              <w:t>行业复苏，蓝宝石价格目前已经处于筑底回升阶段。在LED二次替换以及 Mini/Micro LED 等新应用领域拓展的需求拉动下，蓝宝石材料需求逐步复苏。蓝宝石材料价格也</w:t>
            </w:r>
            <w:r>
              <w:rPr>
                <w:rFonts w:ascii="宋体" w:eastAsia="宋体" w:hAnsi="宋体" w:hint="eastAsia"/>
                <w:sz w:val="24"/>
                <w:szCs w:val="24"/>
              </w:rPr>
              <w:lastRenderedPageBreak/>
              <w:t>将会随着下游需求复苏有一定的回升，但考虑到行业竞争等诸多限制因素</w:t>
            </w:r>
            <w:r w:rsidR="00083648">
              <w:rPr>
                <w:rFonts w:ascii="宋体" w:eastAsia="宋体" w:hAnsi="宋体" w:hint="eastAsia"/>
                <w:sz w:val="24"/>
                <w:szCs w:val="24"/>
              </w:rPr>
              <w:t>，</w:t>
            </w:r>
            <w:r>
              <w:rPr>
                <w:rFonts w:ascii="宋体" w:eastAsia="宋体" w:hAnsi="宋体" w:hint="eastAsia"/>
                <w:sz w:val="24"/>
                <w:szCs w:val="24"/>
              </w:rPr>
              <w:t>应该不会有大幅度的波动变化。</w:t>
            </w:r>
          </w:p>
          <w:p w14:paraId="447AD5BE" w14:textId="77777777" w:rsidR="005672B6" w:rsidRDefault="00F02CBC">
            <w:pPr>
              <w:widowControl/>
              <w:numPr>
                <w:ilvl w:val="0"/>
                <w:numId w:val="2"/>
              </w:numPr>
              <w:spacing w:line="360" w:lineRule="auto"/>
              <w:rPr>
                <w:rFonts w:ascii="宋体" w:eastAsia="宋体" w:hAnsi="宋体"/>
                <w:b/>
                <w:bCs/>
                <w:sz w:val="24"/>
                <w:szCs w:val="24"/>
              </w:rPr>
            </w:pPr>
            <w:r>
              <w:rPr>
                <w:rFonts w:ascii="宋体" w:eastAsia="宋体" w:hAnsi="宋体" w:hint="eastAsia"/>
                <w:b/>
                <w:bCs/>
                <w:sz w:val="24"/>
                <w:szCs w:val="24"/>
              </w:rPr>
              <w:t>压电材料公司下游主要客户?产品技术、价格与海外差距如何?毛利率多少?行业供需如何?</w:t>
            </w:r>
          </w:p>
          <w:p w14:paraId="555D42B9" w14:textId="5F63AD56" w:rsidR="005672B6" w:rsidRDefault="00F02CBC">
            <w:pPr>
              <w:widowControl/>
              <w:spacing w:line="360" w:lineRule="auto"/>
              <w:rPr>
                <w:rFonts w:ascii="宋体" w:eastAsia="宋体" w:hAnsi="宋体"/>
                <w:sz w:val="24"/>
                <w:szCs w:val="24"/>
              </w:rPr>
            </w:pPr>
            <w:r>
              <w:rPr>
                <w:rFonts w:ascii="宋体" w:eastAsia="宋体" w:hAnsi="宋体" w:hint="eastAsia"/>
                <w:sz w:val="24"/>
                <w:szCs w:val="24"/>
              </w:rPr>
              <w:t>压电材料公司下游客户主要包括声学</w:t>
            </w:r>
            <w:proofErr w:type="gramStart"/>
            <w:r>
              <w:rPr>
                <w:rFonts w:ascii="宋体" w:eastAsia="宋体" w:hAnsi="宋体" w:hint="eastAsia"/>
                <w:sz w:val="24"/>
                <w:szCs w:val="24"/>
              </w:rPr>
              <w:t>方向声</w:t>
            </w:r>
            <w:proofErr w:type="gramEnd"/>
            <w:r>
              <w:rPr>
                <w:rFonts w:ascii="宋体" w:eastAsia="宋体" w:hAnsi="宋体" w:hint="eastAsia"/>
                <w:sz w:val="24"/>
                <w:szCs w:val="24"/>
              </w:rPr>
              <w:t>表面滤波器客户以及光学方向光通信光学调制调节器芯片客户。</w:t>
            </w:r>
            <w:r w:rsidR="007947BA">
              <w:rPr>
                <w:rFonts w:ascii="宋体" w:eastAsia="宋体" w:hAnsi="宋体" w:hint="eastAsia"/>
                <w:sz w:val="24"/>
                <w:szCs w:val="24"/>
              </w:rPr>
              <w:t>公司已</w:t>
            </w:r>
            <w:r>
              <w:rPr>
                <w:rFonts w:ascii="宋体" w:eastAsia="宋体" w:hAnsi="宋体" w:hint="eastAsia"/>
                <w:sz w:val="24"/>
                <w:szCs w:val="24"/>
              </w:rPr>
              <w:t>于2023年5月实现铌酸锂大尺寸晶片的正式量产。从主要各公司</w:t>
            </w:r>
            <w:proofErr w:type="gramStart"/>
            <w:r>
              <w:rPr>
                <w:rFonts w:ascii="宋体" w:eastAsia="宋体" w:hAnsi="宋体" w:hint="eastAsia"/>
                <w:sz w:val="24"/>
                <w:szCs w:val="24"/>
              </w:rPr>
              <w:t>官网展示</w:t>
            </w:r>
            <w:proofErr w:type="gramEnd"/>
            <w:r>
              <w:rPr>
                <w:rFonts w:ascii="宋体" w:eastAsia="宋体" w:hAnsi="宋体" w:hint="eastAsia"/>
                <w:sz w:val="24"/>
                <w:szCs w:val="24"/>
              </w:rPr>
              <w:t>的产品指标看，如厚度偏差、翘曲度、透光范围等核心指标</w:t>
            </w:r>
            <w:r w:rsidR="001D31F3">
              <w:rPr>
                <w:rFonts w:ascii="宋体" w:eastAsia="宋体" w:hAnsi="宋体" w:hint="eastAsia"/>
                <w:sz w:val="24"/>
                <w:szCs w:val="24"/>
              </w:rPr>
              <w:t>，</w:t>
            </w:r>
            <w:r w:rsidR="007947BA">
              <w:rPr>
                <w:rFonts w:ascii="宋体" w:eastAsia="宋体" w:hAnsi="宋体" w:hint="eastAsia"/>
                <w:sz w:val="24"/>
                <w:szCs w:val="24"/>
              </w:rPr>
              <w:t>公</w:t>
            </w:r>
            <w:r>
              <w:rPr>
                <w:rFonts w:ascii="宋体" w:eastAsia="宋体" w:hAnsi="宋体" w:hint="eastAsia"/>
                <w:sz w:val="24"/>
                <w:szCs w:val="24"/>
              </w:rPr>
              <w:t>司产品已接近国外第一梯队企业。光学方向光通信光学调制调节器芯片领域毛利率高于声学</w:t>
            </w:r>
            <w:proofErr w:type="gramStart"/>
            <w:r>
              <w:rPr>
                <w:rFonts w:ascii="宋体" w:eastAsia="宋体" w:hAnsi="宋体" w:hint="eastAsia"/>
                <w:sz w:val="24"/>
                <w:szCs w:val="24"/>
              </w:rPr>
              <w:t>方向声</w:t>
            </w:r>
            <w:proofErr w:type="gramEnd"/>
            <w:r>
              <w:rPr>
                <w:rFonts w:ascii="宋体" w:eastAsia="宋体" w:hAnsi="宋体" w:hint="eastAsia"/>
                <w:sz w:val="24"/>
                <w:szCs w:val="24"/>
              </w:rPr>
              <w:t>表面滤波器领域毛利率。具体毛利率涉及商业机密，暂无法透露。压电材料属于高技术壁垒行业，将会随着边际成本降低，加速下游市场渗透，提升市场规模。</w:t>
            </w:r>
          </w:p>
          <w:p w14:paraId="37FF5DBC" w14:textId="77777777" w:rsidR="005672B6" w:rsidRDefault="00F02CBC">
            <w:pPr>
              <w:widowControl/>
              <w:numPr>
                <w:ilvl w:val="0"/>
                <w:numId w:val="2"/>
              </w:numPr>
              <w:spacing w:line="360" w:lineRule="auto"/>
              <w:rPr>
                <w:rFonts w:ascii="宋体" w:eastAsia="宋体" w:hAnsi="宋体"/>
                <w:b/>
                <w:bCs/>
                <w:sz w:val="24"/>
                <w:szCs w:val="24"/>
              </w:rPr>
            </w:pPr>
            <w:r>
              <w:rPr>
                <w:rFonts w:ascii="宋体" w:eastAsia="宋体" w:hAnsi="宋体" w:hint="eastAsia"/>
                <w:b/>
                <w:bCs/>
                <w:sz w:val="24"/>
                <w:szCs w:val="24"/>
              </w:rPr>
              <w:t>磁性材料下游增长点主要在哪?怎么看后续成长性?</w:t>
            </w:r>
          </w:p>
          <w:p w14:paraId="34657A92" w14:textId="77777777" w:rsidR="005672B6" w:rsidRDefault="00F02CBC">
            <w:pPr>
              <w:widowControl/>
              <w:spacing w:line="360" w:lineRule="auto"/>
              <w:rPr>
                <w:rFonts w:ascii="宋体" w:eastAsia="宋体" w:hAnsi="宋体"/>
                <w:b/>
                <w:bCs/>
                <w:sz w:val="24"/>
                <w:szCs w:val="24"/>
              </w:rPr>
            </w:pPr>
            <w:r>
              <w:rPr>
                <w:rFonts w:ascii="宋体" w:eastAsia="宋体" w:hAnsi="宋体" w:hint="eastAsia"/>
                <w:sz w:val="24"/>
                <w:szCs w:val="24"/>
              </w:rPr>
              <w:t>磁性材料接下来的下游增长点主要包括新能源汽车、数据中心、智能无线充电等领域。成长性方面，公司在软磁材料领域取得了显著的技术突破。公司专注于软磁材料及其相关产品的研发、生产和销售，产品线</w:t>
            </w:r>
            <w:proofErr w:type="gramStart"/>
            <w:r>
              <w:rPr>
                <w:rFonts w:ascii="宋体" w:eastAsia="宋体" w:hAnsi="宋体" w:hint="eastAsia"/>
                <w:sz w:val="24"/>
                <w:szCs w:val="24"/>
              </w:rPr>
              <w:t>涵盖了锰锌</w:t>
            </w:r>
            <w:proofErr w:type="gramEnd"/>
            <w:r>
              <w:rPr>
                <w:rFonts w:ascii="宋体" w:eastAsia="宋体" w:hAnsi="宋体" w:hint="eastAsia"/>
                <w:sz w:val="24"/>
                <w:szCs w:val="24"/>
              </w:rPr>
              <w:t>铁氧体、</w:t>
            </w:r>
            <w:proofErr w:type="gramStart"/>
            <w:r>
              <w:rPr>
                <w:rFonts w:ascii="宋体" w:eastAsia="宋体" w:hAnsi="宋体" w:hint="eastAsia"/>
                <w:sz w:val="24"/>
                <w:szCs w:val="24"/>
              </w:rPr>
              <w:t>镍锌铁氧体</w:t>
            </w:r>
            <w:proofErr w:type="gramEnd"/>
            <w:r>
              <w:rPr>
                <w:rFonts w:ascii="宋体" w:eastAsia="宋体" w:hAnsi="宋体" w:hint="eastAsia"/>
                <w:sz w:val="24"/>
                <w:szCs w:val="24"/>
              </w:rPr>
              <w:t>、金属软磁材料等多种类型。这些产品在新能源汽车、智能无线充电、大数据服务器等细分应用领域具有广泛的应用前景。</w:t>
            </w:r>
            <w:r>
              <w:rPr>
                <w:rFonts w:ascii="宋体" w:eastAsia="宋体" w:hAnsi="宋体" w:hint="eastAsia"/>
                <w:b/>
                <w:bCs/>
                <w:sz w:val="24"/>
                <w:szCs w:val="24"/>
              </w:rPr>
              <w:t>‌</w:t>
            </w:r>
          </w:p>
          <w:p w14:paraId="41AF64E4" w14:textId="77777777" w:rsidR="005672B6" w:rsidRDefault="00F02CBC">
            <w:pPr>
              <w:widowControl/>
              <w:numPr>
                <w:ilvl w:val="0"/>
                <w:numId w:val="2"/>
              </w:numPr>
              <w:spacing w:line="360" w:lineRule="auto"/>
              <w:rPr>
                <w:rFonts w:ascii="宋体" w:eastAsia="宋体" w:hAnsi="宋体"/>
                <w:b/>
                <w:bCs/>
                <w:sz w:val="24"/>
                <w:szCs w:val="24"/>
              </w:rPr>
            </w:pPr>
            <w:r>
              <w:rPr>
                <w:rFonts w:ascii="宋体" w:eastAsia="宋体" w:hAnsi="宋体" w:hint="eastAsia"/>
                <w:b/>
                <w:bCs/>
                <w:sz w:val="24"/>
                <w:szCs w:val="24"/>
              </w:rPr>
              <w:t>装备业务不同设备下游应用领域的收入占比?在手订单及新增订单的展望?对后续不同下游的景气度展望?</w:t>
            </w:r>
          </w:p>
          <w:p w14:paraId="00224DA3" w14:textId="506B7E5C" w:rsidR="005672B6" w:rsidRDefault="00F02CBC" w:rsidP="007947BA">
            <w:pPr>
              <w:widowControl/>
              <w:spacing w:line="360" w:lineRule="auto"/>
              <w:rPr>
                <w:rFonts w:ascii="宋体" w:eastAsia="宋体" w:hAnsi="宋体"/>
                <w:b/>
                <w:bCs/>
                <w:sz w:val="24"/>
                <w:szCs w:val="24"/>
              </w:rPr>
            </w:pPr>
            <w:r>
              <w:rPr>
                <w:rFonts w:ascii="宋体" w:eastAsia="宋体" w:hAnsi="宋体"/>
                <w:sz w:val="24"/>
                <w:szCs w:val="24"/>
              </w:rPr>
              <w:t>装备产业对外销售主要集中在光</w:t>
            </w:r>
            <w:proofErr w:type="gramStart"/>
            <w:r>
              <w:rPr>
                <w:rFonts w:ascii="宋体" w:eastAsia="宋体" w:hAnsi="宋体"/>
                <w:sz w:val="24"/>
                <w:szCs w:val="24"/>
              </w:rPr>
              <w:t>伏设备</w:t>
            </w:r>
            <w:proofErr w:type="gramEnd"/>
            <w:r>
              <w:rPr>
                <w:rFonts w:ascii="宋体" w:eastAsia="宋体" w:hAnsi="宋体"/>
                <w:sz w:val="24"/>
                <w:szCs w:val="24"/>
              </w:rPr>
              <w:t>领域，包括光伏单晶炉、</w:t>
            </w:r>
            <w:proofErr w:type="gramStart"/>
            <w:r>
              <w:rPr>
                <w:rFonts w:ascii="宋体" w:eastAsia="宋体" w:hAnsi="宋体"/>
                <w:sz w:val="24"/>
                <w:szCs w:val="24"/>
              </w:rPr>
              <w:t>后道机加</w:t>
            </w:r>
            <w:proofErr w:type="gramEnd"/>
            <w:r>
              <w:rPr>
                <w:rFonts w:ascii="宋体" w:eastAsia="宋体" w:hAnsi="宋体"/>
                <w:sz w:val="24"/>
                <w:szCs w:val="24"/>
              </w:rPr>
              <w:t>设备等。各个下游应用领域占比以</w:t>
            </w:r>
            <w:r w:rsidR="007947BA">
              <w:rPr>
                <w:rFonts w:ascii="宋体" w:eastAsia="宋体" w:hAnsi="宋体" w:hint="eastAsia"/>
                <w:sz w:val="24"/>
                <w:szCs w:val="24"/>
              </w:rPr>
              <w:t>公司</w:t>
            </w:r>
            <w:r>
              <w:rPr>
                <w:rFonts w:ascii="宋体" w:eastAsia="宋体" w:hAnsi="宋体"/>
                <w:sz w:val="24"/>
                <w:szCs w:val="24"/>
              </w:rPr>
              <w:t>定期报告披露为准。尽管光</w:t>
            </w:r>
            <w:proofErr w:type="gramStart"/>
            <w:r>
              <w:rPr>
                <w:rFonts w:ascii="宋体" w:eastAsia="宋体" w:hAnsi="宋体"/>
                <w:sz w:val="24"/>
                <w:szCs w:val="24"/>
              </w:rPr>
              <w:t>伏行业</w:t>
            </w:r>
            <w:proofErr w:type="gramEnd"/>
            <w:r>
              <w:rPr>
                <w:rFonts w:ascii="宋体" w:eastAsia="宋体" w:hAnsi="宋体"/>
                <w:sz w:val="24"/>
                <w:szCs w:val="24"/>
              </w:rPr>
              <w:t>目前遭遇到行业寒流，但在全球碳中和的大的时代背景下，作为节能型产品的先驱，其发展空间还是不容小视的。公司目前在手订单仍然有良好的基础，经过本轮行业周期后</w:t>
            </w:r>
            <w:r w:rsidR="007947BA">
              <w:rPr>
                <w:rFonts w:ascii="宋体" w:eastAsia="宋体" w:hAnsi="宋体" w:hint="eastAsia"/>
                <w:sz w:val="24"/>
                <w:szCs w:val="24"/>
              </w:rPr>
              <w:t>，</w:t>
            </w:r>
            <w:r>
              <w:rPr>
                <w:rFonts w:ascii="宋体" w:eastAsia="宋体" w:hAnsi="宋体"/>
                <w:sz w:val="24"/>
                <w:szCs w:val="24"/>
              </w:rPr>
              <w:t>该业务将迎来新一轮的增长。</w:t>
            </w:r>
          </w:p>
        </w:tc>
      </w:tr>
    </w:tbl>
    <w:p w14:paraId="1B1A8D4F" w14:textId="77777777" w:rsidR="005672B6" w:rsidRDefault="005672B6"/>
    <w:sectPr w:rsidR="005672B6">
      <w:footerReference w:type="default" r:id="rId7"/>
      <w:pgSz w:w="11906" w:h="16838"/>
      <w:pgMar w:top="1440" w:right="1800" w:bottom="1418"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2BEEEC" w14:textId="77777777" w:rsidR="00DD3C5E" w:rsidRDefault="00DD3C5E">
      <w:r>
        <w:separator/>
      </w:r>
    </w:p>
  </w:endnote>
  <w:endnote w:type="continuationSeparator" w:id="0">
    <w:p w14:paraId="619D623D" w14:textId="77777777" w:rsidR="00DD3C5E" w:rsidRDefault="00DD3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3768659"/>
    </w:sdtPr>
    <w:sdtEndPr/>
    <w:sdtContent>
      <w:p w14:paraId="7EEF4BC8" w14:textId="403ED790" w:rsidR="005672B6" w:rsidRDefault="00F02CBC">
        <w:pPr>
          <w:pStyle w:val="a5"/>
          <w:jc w:val="center"/>
        </w:pPr>
        <w:r>
          <w:fldChar w:fldCharType="begin"/>
        </w:r>
        <w:r>
          <w:instrText>PAGE   \* MERGEFORMAT</w:instrText>
        </w:r>
        <w:r>
          <w:fldChar w:fldCharType="separate"/>
        </w:r>
        <w:r w:rsidR="00A21066" w:rsidRPr="00A21066">
          <w:rPr>
            <w:noProof/>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D2F68B" w14:textId="77777777" w:rsidR="00DD3C5E" w:rsidRDefault="00DD3C5E">
      <w:r>
        <w:separator/>
      </w:r>
    </w:p>
  </w:footnote>
  <w:footnote w:type="continuationSeparator" w:id="0">
    <w:p w14:paraId="6F690A97" w14:textId="77777777" w:rsidR="00DD3C5E" w:rsidRDefault="00DD3C5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633D4E9"/>
    <w:multiLevelType w:val="singleLevel"/>
    <w:tmpl w:val="8633D4E9"/>
    <w:lvl w:ilvl="0">
      <w:start w:val="1"/>
      <w:numFmt w:val="chineseCounting"/>
      <w:suff w:val="nothing"/>
      <w:lvlText w:val="%1、"/>
      <w:lvlJc w:val="left"/>
      <w:rPr>
        <w:rFonts w:hint="eastAsia"/>
      </w:rPr>
    </w:lvl>
  </w:abstractNum>
  <w:abstractNum w:abstractNumId="1" w15:restartNumberingAfterBreak="0">
    <w:nsid w:val="2414A39F"/>
    <w:multiLevelType w:val="singleLevel"/>
    <w:tmpl w:val="2414A39F"/>
    <w:lvl w:ilvl="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M1OTI4NjM5ZGIwODMyOGY4ZTIyODRhZDgyYzYzYzYifQ=="/>
  </w:docVars>
  <w:rsids>
    <w:rsidRoot w:val="00620F4C"/>
    <w:rsid w:val="000143F5"/>
    <w:rsid w:val="000156BD"/>
    <w:rsid w:val="00021E96"/>
    <w:rsid w:val="00022DF7"/>
    <w:rsid w:val="00053342"/>
    <w:rsid w:val="00066D40"/>
    <w:rsid w:val="00083648"/>
    <w:rsid w:val="00083FC9"/>
    <w:rsid w:val="000B2337"/>
    <w:rsid w:val="000C67A2"/>
    <w:rsid w:val="000E24D4"/>
    <w:rsid w:val="001542EC"/>
    <w:rsid w:val="001B61AA"/>
    <w:rsid w:val="001C37DC"/>
    <w:rsid w:val="001D31F3"/>
    <w:rsid w:val="00217652"/>
    <w:rsid w:val="00247BF9"/>
    <w:rsid w:val="00282A76"/>
    <w:rsid w:val="002911ED"/>
    <w:rsid w:val="002F1EFF"/>
    <w:rsid w:val="00303C6C"/>
    <w:rsid w:val="00303E26"/>
    <w:rsid w:val="003206A0"/>
    <w:rsid w:val="00376193"/>
    <w:rsid w:val="003F335E"/>
    <w:rsid w:val="004016F0"/>
    <w:rsid w:val="00435EBC"/>
    <w:rsid w:val="0044710E"/>
    <w:rsid w:val="00474AD8"/>
    <w:rsid w:val="00496F15"/>
    <w:rsid w:val="004B4E23"/>
    <w:rsid w:val="004B52DD"/>
    <w:rsid w:val="00534905"/>
    <w:rsid w:val="00542E25"/>
    <w:rsid w:val="005672B6"/>
    <w:rsid w:val="0057316F"/>
    <w:rsid w:val="005C7F90"/>
    <w:rsid w:val="00612C13"/>
    <w:rsid w:val="00620F4C"/>
    <w:rsid w:val="00623AD4"/>
    <w:rsid w:val="006258EC"/>
    <w:rsid w:val="00686A25"/>
    <w:rsid w:val="006A3F3E"/>
    <w:rsid w:val="006A4A53"/>
    <w:rsid w:val="006C51E6"/>
    <w:rsid w:val="00700B0A"/>
    <w:rsid w:val="00703770"/>
    <w:rsid w:val="00706DF4"/>
    <w:rsid w:val="00707043"/>
    <w:rsid w:val="00707948"/>
    <w:rsid w:val="007130E2"/>
    <w:rsid w:val="0074787A"/>
    <w:rsid w:val="0077051D"/>
    <w:rsid w:val="00773064"/>
    <w:rsid w:val="007947BA"/>
    <w:rsid w:val="007A4B53"/>
    <w:rsid w:val="007B4F3B"/>
    <w:rsid w:val="008014E9"/>
    <w:rsid w:val="00837582"/>
    <w:rsid w:val="008403F4"/>
    <w:rsid w:val="00853EC1"/>
    <w:rsid w:val="008A4D37"/>
    <w:rsid w:val="008B4908"/>
    <w:rsid w:val="008C3390"/>
    <w:rsid w:val="0090263D"/>
    <w:rsid w:val="00954221"/>
    <w:rsid w:val="009560C5"/>
    <w:rsid w:val="00960A31"/>
    <w:rsid w:val="00974E57"/>
    <w:rsid w:val="009A252B"/>
    <w:rsid w:val="009B396E"/>
    <w:rsid w:val="009B7ACE"/>
    <w:rsid w:val="009E47A8"/>
    <w:rsid w:val="009F473B"/>
    <w:rsid w:val="00A203E6"/>
    <w:rsid w:val="00A21066"/>
    <w:rsid w:val="00A46E1B"/>
    <w:rsid w:val="00A710C3"/>
    <w:rsid w:val="00AA1C21"/>
    <w:rsid w:val="00AB1CC0"/>
    <w:rsid w:val="00AC67ED"/>
    <w:rsid w:val="00B25EE5"/>
    <w:rsid w:val="00B27D13"/>
    <w:rsid w:val="00B50D16"/>
    <w:rsid w:val="00B54B00"/>
    <w:rsid w:val="00B553C5"/>
    <w:rsid w:val="00B7229B"/>
    <w:rsid w:val="00BC39E1"/>
    <w:rsid w:val="00BF1E6C"/>
    <w:rsid w:val="00C03440"/>
    <w:rsid w:val="00C40EB3"/>
    <w:rsid w:val="00C47B19"/>
    <w:rsid w:val="00C56FB2"/>
    <w:rsid w:val="00C75DFA"/>
    <w:rsid w:val="00C86501"/>
    <w:rsid w:val="00C951D8"/>
    <w:rsid w:val="00CF7AA3"/>
    <w:rsid w:val="00D41572"/>
    <w:rsid w:val="00D76D73"/>
    <w:rsid w:val="00D9773D"/>
    <w:rsid w:val="00DA28E1"/>
    <w:rsid w:val="00DB1867"/>
    <w:rsid w:val="00DD3C5E"/>
    <w:rsid w:val="00E61AB0"/>
    <w:rsid w:val="00E66847"/>
    <w:rsid w:val="00EE1267"/>
    <w:rsid w:val="00F02CBC"/>
    <w:rsid w:val="00F4611B"/>
    <w:rsid w:val="00F64B64"/>
    <w:rsid w:val="00FA313D"/>
    <w:rsid w:val="00FD53BF"/>
    <w:rsid w:val="01983917"/>
    <w:rsid w:val="060914B4"/>
    <w:rsid w:val="10F36815"/>
    <w:rsid w:val="133753CF"/>
    <w:rsid w:val="13F9748D"/>
    <w:rsid w:val="1CB86E26"/>
    <w:rsid w:val="2C266948"/>
    <w:rsid w:val="33753099"/>
    <w:rsid w:val="33B0386E"/>
    <w:rsid w:val="33C575A6"/>
    <w:rsid w:val="40AE0133"/>
    <w:rsid w:val="419037DA"/>
    <w:rsid w:val="42BE3F79"/>
    <w:rsid w:val="4EA053B3"/>
    <w:rsid w:val="52EB7765"/>
    <w:rsid w:val="53CD413B"/>
    <w:rsid w:val="56E90059"/>
    <w:rsid w:val="5CE62548"/>
    <w:rsid w:val="622A5268"/>
    <w:rsid w:val="66682803"/>
    <w:rsid w:val="66FC740E"/>
    <w:rsid w:val="67492634"/>
    <w:rsid w:val="6B824366"/>
    <w:rsid w:val="6B9A5940"/>
    <w:rsid w:val="76FA67D6"/>
    <w:rsid w:val="772161F9"/>
    <w:rsid w:val="7A3C02CC"/>
    <w:rsid w:val="7BA41542"/>
    <w:rsid w:val="7D1067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25471"/>
  <w15:docId w15:val="{34217B90-18EB-4D61-B346-C1DEEC178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autoRedefine/>
    <w:uiPriority w:val="99"/>
    <w:semiHidden/>
    <w:unhideWhenUsed/>
    <w:qFormat/>
    <w:rPr>
      <w:sz w:val="18"/>
      <w:szCs w:val="18"/>
    </w:rPr>
  </w:style>
  <w:style w:type="paragraph" w:styleId="a5">
    <w:name w:val="footer"/>
    <w:basedOn w:val="a"/>
    <w:link w:val="a6"/>
    <w:autoRedefine/>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autoRedefine/>
    <w:uiPriority w:val="99"/>
    <w:qFormat/>
    <w:rPr>
      <w:sz w:val="18"/>
      <w:szCs w:val="18"/>
    </w:rPr>
  </w:style>
  <w:style w:type="character" w:customStyle="1" w:styleId="a6">
    <w:name w:val="页脚 字符"/>
    <w:basedOn w:val="a0"/>
    <w:link w:val="a5"/>
    <w:autoRedefine/>
    <w:uiPriority w:val="99"/>
    <w:qFormat/>
    <w:rPr>
      <w:sz w:val="18"/>
      <w:szCs w:val="18"/>
    </w:rPr>
  </w:style>
  <w:style w:type="character" w:customStyle="1" w:styleId="a4">
    <w:name w:val="批注框文本 字符"/>
    <w:basedOn w:val="a0"/>
    <w:link w:val="a3"/>
    <w:autoRedefine/>
    <w:uiPriority w:val="99"/>
    <w:semiHidden/>
    <w:qFormat/>
    <w:rPr>
      <w:sz w:val="18"/>
      <w:szCs w:val="18"/>
    </w:rPr>
  </w:style>
  <w:style w:type="paragraph" w:styleId="aa">
    <w:name w:val="List Paragraph"/>
    <w:basedOn w:val="a"/>
    <w:autoRedefine/>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6</Pages>
  <Words>615</Words>
  <Characters>3511</Characters>
  <Application>Microsoft Office Word</Application>
  <DocSecurity>0</DocSecurity>
  <Lines>29</Lines>
  <Paragraphs>8</Paragraphs>
  <ScaleCrop>false</ScaleCrop>
  <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吴建美</dc:creator>
  <cp:lastModifiedBy>吴建美</cp:lastModifiedBy>
  <cp:revision>10</cp:revision>
  <cp:lastPrinted>2023-07-03T06:00:00Z</cp:lastPrinted>
  <dcterms:created xsi:type="dcterms:W3CDTF">2024-11-05T02:03:00Z</dcterms:created>
  <dcterms:modified xsi:type="dcterms:W3CDTF">2024-12-05T03:23:00Z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2052-12.1.0.18372</vt:lpwstr>
  </property>
  <property fmtid="{D5CDD505-2E9C-101B-9397-08002B2CF9AE}" pid="3" name="ICV">
    <vt:lpwstr>489A5576C2334E9E857C3017262C2516_12</vt:lpwstr>
  </property>
</Properties>
</file>