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ascii="宋体" w:hAnsi="宋体"/>
        </w:rPr>
      </w:pPr>
      <w:r>
        <w:rPr>
          <w:rFonts w:hint="eastAsia" w:ascii="宋体" w:hAnsi="宋体"/>
        </w:rPr>
        <w:t>编号：2024-009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48" w:lineRule="auto"/>
              <w:rPr>
                <w:b/>
                <w:bCs/>
                <w:iCs/>
                <w:sz w:val="24"/>
              </w:rPr>
            </w:pPr>
            <w:r>
              <w:rPr>
                <w:b/>
                <w:bCs/>
                <w:iCs/>
                <w:sz w:val="24"/>
              </w:rPr>
              <w:t>投资者关系活动类别</w:t>
            </w:r>
          </w:p>
        </w:tc>
        <w:tc>
          <w:tcPr>
            <w:tcW w:w="6996" w:type="dxa"/>
            <w:vAlign w:val="center"/>
          </w:tcPr>
          <w:p w14:paraId="27B2D59F">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48" w:lineRule="auto"/>
              <w:rPr>
                <w:bCs/>
                <w:iCs/>
                <w:sz w:val="24"/>
                <w:szCs w:val="24"/>
              </w:rPr>
            </w:pPr>
            <w:r>
              <w:rPr>
                <w:sz w:val="24"/>
                <w:szCs w:val="24"/>
              </w:rPr>
              <w:sym w:font="Wingdings 2" w:char="0052"/>
            </w:r>
            <w:r>
              <w:rPr>
                <w:sz w:val="24"/>
                <w:szCs w:val="24"/>
              </w:rPr>
              <w:t>电话会议</w:t>
            </w:r>
          </w:p>
          <w:p w14:paraId="3F9F99B1">
            <w:pPr>
              <w:pStyle w:val="25"/>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adjustRightInd w:val="0"/>
              <w:snapToGrid w:val="0"/>
              <w:spacing w:line="348" w:lineRule="auto"/>
              <w:rPr>
                <w:b/>
                <w:bCs/>
                <w:iCs/>
                <w:sz w:val="24"/>
              </w:rPr>
            </w:pPr>
            <w:r>
              <w:rPr>
                <w:b/>
                <w:bCs/>
                <w:iCs/>
                <w:sz w:val="24"/>
              </w:rPr>
              <w:t>参与单位名称及人员姓名</w:t>
            </w:r>
          </w:p>
        </w:tc>
        <w:tc>
          <w:tcPr>
            <w:tcW w:w="6996" w:type="dxa"/>
            <w:vAlign w:val="center"/>
          </w:tcPr>
          <w:p w14:paraId="30A5996B">
            <w:pPr>
              <w:spacing w:line="348" w:lineRule="auto"/>
              <w:textAlignment w:val="baseline"/>
              <w:rPr>
                <w:rFonts w:ascii="Times New Roman" w:hAnsi="Times New Roman"/>
                <w:sz w:val="24"/>
                <w:szCs w:val="24"/>
              </w:rPr>
            </w:pPr>
            <w:r>
              <w:rPr>
                <w:rFonts w:hint="eastAsia" w:ascii="Times New Roman" w:hAnsi="Times New Roman"/>
                <w:sz w:val="24"/>
                <w:szCs w:val="24"/>
              </w:rPr>
              <w:t>信达澳亚基金 冯明远  徐聪  杨宇  齐兴方</w:t>
            </w:r>
          </w:p>
          <w:p w14:paraId="2F2CF26E">
            <w:pPr>
              <w:spacing w:line="348" w:lineRule="auto"/>
              <w:textAlignment w:val="baseline"/>
              <w:rPr>
                <w:rFonts w:ascii="Times New Roman" w:hAnsi="Times New Roman"/>
                <w:sz w:val="24"/>
                <w:szCs w:val="24"/>
              </w:rPr>
            </w:pPr>
            <w:r>
              <w:rPr>
                <w:rFonts w:hint="eastAsia" w:ascii="Times New Roman" w:hAnsi="Times New Roman"/>
                <w:sz w:val="24"/>
                <w:szCs w:val="24"/>
              </w:rPr>
              <w:t>鹏华基金 曾稳钢</w:t>
            </w:r>
          </w:p>
          <w:p w14:paraId="1276E8F4">
            <w:pPr>
              <w:spacing w:line="348" w:lineRule="auto"/>
              <w:textAlignment w:val="baseline"/>
              <w:rPr>
                <w:rFonts w:ascii="Times New Roman" w:hAnsi="Times New Roman"/>
                <w:sz w:val="24"/>
                <w:szCs w:val="24"/>
              </w:rPr>
            </w:pPr>
            <w:r>
              <w:rPr>
                <w:rFonts w:ascii="Times New Roman" w:hAnsi="Times New Roman"/>
                <w:sz w:val="24"/>
                <w:szCs w:val="24"/>
              </w:rPr>
              <w:t>国泰基金 钱晓杰</w:t>
            </w:r>
          </w:p>
          <w:p w14:paraId="2CC39EB8">
            <w:pPr>
              <w:spacing w:line="348" w:lineRule="auto"/>
              <w:textAlignment w:val="baseline"/>
              <w:rPr>
                <w:rFonts w:ascii="Times New Roman" w:hAnsi="Times New Roman"/>
                <w:sz w:val="24"/>
                <w:szCs w:val="24"/>
              </w:rPr>
            </w:pPr>
            <w:r>
              <w:rPr>
                <w:rFonts w:ascii="Times New Roman" w:hAnsi="Times New Roman"/>
                <w:sz w:val="24"/>
                <w:szCs w:val="24"/>
              </w:rPr>
              <w:t>浦银安盛 戴晨阳</w:t>
            </w:r>
          </w:p>
          <w:p w14:paraId="3FDD778D">
            <w:pPr>
              <w:spacing w:line="348" w:lineRule="auto"/>
              <w:textAlignment w:val="baseline"/>
              <w:rPr>
                <w:rFonts w:ascii="Times New Roman" w:hAnsi="Times New Roman"/>
                <w:sz w:val="24"/>
                <w:szCs w:val="24"/>
              </w:rPr>
            </w:pPr>
            <w:r>
              <w:rPr>
                <w:rFonts w:hint="eastAsia" w:ascii="Times New Roman" w:hAnsi="Times New Roman"/>
                <w:sz w:val="24"/>
                <w:szCs w:val="24"/>
              </w:rPr>
              <w:t>兴业证券 石康</w:t>
            </w:r>
          </w:p>
          <w:p w14:paraId="791C64F2">
            <w:pPr>
              <w:spacing w:line="348" w:lineRule="auto"/>
              <w:textAlignment w:val="baseline"/>
              <w:rPr>
                <w:rFonts w:ascii="Times New Roman" w:hAnsi="Times New Roman"/>
                <w:sz w:val="24"/>
                <w:szCs w:val="24"/>
              </w:rPr>
            </w:pPr>
            <w:r>
              <w:rPr>
                <w:rFonts w:hint="eastAsia" w:ascii="Times New Roman" w:hAnsi="Times New Roman"/>
                <w:sz w:val="24"/>
                <w:szCs w:val="24"/>
              </w:rPr>
              <w:t>天风证券 王泽宇 柏海燕</w:t>
            </w:r>
          </w:p>
          <w:p w14:paraId="12C6B1B9">
            <w:pPr>
              <w:spacing w:line="348" w:lineRule="auto"/>
              <w:textAlignment w:val="baseline"/>
              <w:rPr>
                <w:rFonts w:ascii="Times New Roman" w:hAnsi="Times New Roman"/>
                <w:sz w:val="24"/>
                <w:szCs w:val="24"/>
              </w:rPr>
            </w:pPr>
            <w:r>
              <w:rPr>
                <w:rFonts w:ascii="Times New Roman" w:hAnsi="Times New Roman"/>
                <w:sz w:val="24"/>
                <w:szCs w:val="24"/>
              </w:rPr>
              <w:t>华源证券 郦悦轩</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spacing w:line="348" w:lineRule="auto"/>
              <w:rPr>
                <w:rFonts w:ascii="Times New Roman" w:hAnsi="Times New Roman"/>
                <w:iCs/>
                <w:sz w:val="24"/>
              </w:rPr>
            </w:pPr>
            <w:r>
              <w:rPr>
                <w:rFonts w:hint="eastAsia" w:ascii="Times New Roman" w:hAnsi="Times New Roman"/>
                <w:iCs/>
                <w:sz w:val="24"/>
              </w:rPr>
              <w:t>2024年11月18日至12月4日</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spacing w:line="348"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26" w:type="dxa"/>
            <w:vAlign w:val="center"/>
          </w:tcPr>
          <w:p w14:paraId="6DF7EBE0">
            <w:pPr>
              <w:pStyle w:val="25"/>
              <w:adjustRightInd w:val="0"/>
              <w:snapToGrid w:val="0"/>
              <w:spacing w:line="348" w:lineRule="auto"/>
              <w:rPr>
                <w:b/>
                <w:bCs/>
                <w:iCs/>
                <w:sz w:val="24"/>
              </w:rPr>
            </w:pPr>
            <w:r>
              <w:rPr>
                <w:rFonts w:hint="eastAsia"/>
                <w:b/>
                <w:bCs/>
                <w:iCs/>
                <w:sz w:val="24"/>
              </w:rPr>
              <w:t>投资者关系活动主要内容介绍</w:t>
            </w:r>
          </w:p>
        </w:tc>
        <w:tc>
          <w:tcPr>
            <w:tcW w:w="6996" w:type="dxa"/>
          </w:tcPr>
          <w:p w14:paraId="659160B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首先向投资者简要介绍公司2024年三季度经营业绩情况，民爆业务、军工新材料业务情况，随后针对投资者关心的重点问题作了具体交流如下：</w:t>
            </w:r>
          </w:p>
          <w:p w14:paraId="70E7541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1、简要介绍民爆行业基本情况？</w:t>
            </w:r>
          </w:p>
          <w:p w14:paraId="1BCBF96D">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答：根据中国爆破行业协会公布的数据，</w:t>
            </w:r>
            <w:r>
              <w:rPr>
                <w:rFonts w:ascii="宋体" w:hAnsi="宋体" w:cs="宋体"/>
                <w:sz w:val="24"/>
                <w:szCs w:val="24"/>
              </w:rPr>
              <w:t>2024年10月份，民爆行业继续呈现下行态势，但主要经济指标和炸药产量同比降幅有所缩小；由于主要原材料价格保持低位，使民爆行业利润维持稳定增长。</w:t>
            </w:r>
          </w:p>
          <w:p w14:paraId="29AA251D">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2024年1-10月份，全国民爆生产企业工业炸药累计产、销量分别为363.24万吨和361.28万吨，同比分别减少2.94%和3.11%；工业雷管累计产、销量分别为5.39亿发和5.30亿发，同比分别减少8.58%和10.45%。</w:t>
            </w:r>
          </w:p>
          <w:p w14:paraId="54F3519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2024年</w:t>
            </w:r>
            <w:r>
              <w:rPr>
                <w:rFonts w:ascii="宋体" w:hAnsi="宋体" w:cs="宋体"/>
                <w:sz w:val="24"/>
                <w:szCs w:val="24"/>
              </w:rPr>
              <w:t>1-10月份，全国民爆生产企业累计完成生产、销售总值分别为337.11亿元和331.38亿元，同比分别下降5.76%和6.50%</w:t>
            </w:r>
            <w:r>
              <w:rPr>
                <w:rFonts w:hint="eastAsia" w:ascii="宋体" w:hAnsi="宋体" w:cs="宋体"/>
                <w:sz w:val="24"/>
                <w:szCs w:val="24"/>
              </w:rPr>
              <w:t>；累计实现主营业务收入356.96亿元，同比下降11.60%；累计实现利税总额103.08亿元，同比增长7.12%；累计实现利润总额79.32亿元，同比增长9.92%。</w:t>
            </w:r>
          </w:p>
          <w:p w14:paraId="03F69686">
            <w:pPr>
              <w:adjustRightInd w:val="0"/>
              <w:snapToGrid w:val="0"/>
              <w:spacing w:line="336" w:lineRule="auto"/>
              <w:ind w:firstLine="480" w:firstLineChars="200"/>
              <w:rPr>
                <w:rFonts w:ascii="宋体" w:hAnsi="宋体" w:cs="宋体"/>
                <w:sz w:val="24"/>
                <w:szCs w:val="24"/>
              </w:rPr>
            </w:pPr>
          </w:p>
          <w:p w14:paraId="5FCA8607">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2、公司民爆一体化业务发展情况，各产品产能、销量情况？</w:t>
            </w:r>
          </w:p>
          <w:p w14:paraId="01D94009">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答：公司现有工业炸药产能17.4万吨，其中包装炸药12.18万吨，现场混装炸药产能5.22万吨，2024年前三季度公司销售工业包装炸药86,720.16吨，营业收入54,406.00万元。</w:t>
            </w:r>
          </w:p>
          <w:p w14:paraId="424D5BC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公司现有工业雷管产能3,027万发，其中电子雷管产能2,727万发。2024年前三季度公司销售电子雷管1,924.65万发，营业收入26,879.31万元。未来公司将不断加强民爆产品销售推广，进一步扩大市场份额。</w:t>
            </w:r>
          </w:p>
          <w:p w14:paraId="55ADE3E7">
            <w:pPr>
              <w:adjustRightInd w:val="0"/>
              <w:snapToGrid w:val="0"/>
              <w:spacing w:line="336" w:lineRule="auto"/>
              <w:ind w:firstLine="480" w:firstLineChars="200"/>
              <w:rPr>
                <w:rFonts w:ascii="宋体" w:hAnsi="宋体" w:cs="宋体"/>
                <w:sz w:val="24"/>
                <w:szCs w:val="24"/>
              </w:rPr>
            </w:pPr>
          </w:p>
          <w:p w14:paraId="5BD2B849">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3、公司民爆业务主要分布在哪些地区，是否有销售半径？</w:t>
            </w:r>
          </w:p>
          <w:p w14:paraId="64D3C4F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w:t>
            </w:r>
            <w:r>
              <w:rPr>
                <w:rFonts w:hint="eastAsia" w:ascii="宋体" w:hAnsi="宋体"/>
                <w:sz w:val="24"/>
              </w:rPr>
              <w:t>公司民爆产品及服务客户主要集中在江西省内及周边省份。民爆产品包括工业炸药、电子雷管、导爆索等。绝大多数省份民爆产品运至经销商及终端用户的运输费由生产企业承担，由于炸药的运输成本较高，导致工业炸药远距离跨区域销售难度较大。而电子雷管体积小，重量轻，相较于工业炸药的运输成本可忽略不计，且不存在运输限制，跨区域销售制约因素较少。公司电子雷管布局较早，在省内外市场积累了较多客户资源。</w:t>
            </w:r>
          </w:p>
          <w:p w14:paraId="0B0D06F7">
            <w:pPr>
              <w:adjustRightInd w:val="0"/>
              <w:snapToGrid w:val="0"/>
              <w:spacing w:line="336" w:lineRule="auto"/>
              <w:ind w:firstLine="480" w:firstLineChars="200"/>
              <w:rPr>
                <w:rFonts w:ascii="宋体" w:hAnsi="宋体" w:cs="宋体"/>
                <w:sz w:val="24"/>
                <w:szCs w:val="24"/>
              </w:rPr>
            </w:pPr>
          </w:p>
          <w:p w14:paraId="7A85EC74">
            <w:pPr>
              <w:adjustRightInd w:val="0"/>
              <w:snapToGrid w:val="0"/>
              <w:spacing w:line="360" w:lineRule="auto"/>
              <w:ind w:firstLine="480" w:firstLineChars="200"/>
              <w:textAlignment w:val="baseline"/>
              <w:rPr>
                <w:rFonts w:ascii="宋体" w:hAnsi="宋体"/>
                <w:sz w:val="24"/>
              </w:rPr>
            </w:pPr>
            <w:r>
              <w:rPr>
                <w:rFonts w:hint="eastAsia" w:ascii="宋体" w:hAnsi="宋体" w:cs="宋体"/>
                <w:sz w:val="24"/>
                <w:szCs w:val="24"/>
              </w:rPr>
              <w:t>4、</w:t>
            </w:r>
            <w:r>
              <w:rPr>
                <w:rFonts w:hint="eastAsia" w:ascii="宋体" w:hAnsi="宋体"/>
                <w:sz w:val="24"/>
              </w:rPr>
              <w:t>现场混装炸药的适用范围有哪些，在民爆行业大力推广现场混装炸药的形势下公司是如何应对的？</w:t>
            </w:r>
          </w:p>
          <w:p w14:paraId="7ECD09F5">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答：相较于包装炸药，现场混装炸药可</w:t>
            </w:r>
            <w:r>
              <w:rPr>
                <w:rFonts w:ascii="宋体" w:hAnsi="宋体" w:cs="宋体"/>
                <w:sz w:val="24"/>
                <w:szCs w:val="24"/>
              </w:rPr>
              <w:t>实现乳胶基质远程配送与现场混装，生产、运输、储存和使用的本质安全性得到大幅度提高。但同时，</w:t>
            </w:r>
            <w:r>
              <w:rPr>
                <w:rFonts w:hint="eastAsia" w:ascii="宋体" w:hAnsi="宋体" w:cs="宋体"/>
                <w:sz w:val="24"/>
                <w:szCs w:val="24"/>
              </w:rPr>
              <w:t>现场混装炸药受制于作业环境，主要应用在开阔的平原地带。公司全资子公司江铜民爆拥有4.4万吨现场混装炸药产能，服务于大型露天矿山——德兴铜矿。近年来，公司紧跟民爆行业主管部门的政策导向，不断开拓爆破服务，深化现场混装炸药业务，2024年推动高安生产点年产8200吨现场混装乳化炸药生产系统通过验收。此外，公司还大力推进“机械化换人、自动化减人、智能化无人”的技术改造和数字化建设，延伸开发了安全监管数字化平台、爆破远程监控等8个应用场景，全面提升本质安全水平。</w:t>
            </w:r>
          </w:p>
          <w:p w14:paraId="4265ECC5">
            <w:pPr>
              <w:adjustRightInd w:val="0"/>
              <w:snapToGrid w:val="0"/>
              <w:spacing w:line="336" w:lineRule="auto"/>
              <w:ind w:firstLine="480" w:firstLineChars="200"/>
              <w:rPr>
                <w:rFonts w:ascii="宋体" w:hAnsi="宋体" w:cs="宋体"/>
                <w:sz w:val="24"/>
                <w:szCs w:val="24"/>
              </w:rPr>
            </w:pPr>
          </w:p>
          <w:p w14:paraId="0C6C8A8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5、公司含能材料项目建设最新进展情况如何？</w:t>
            </w:r>
          </w:p>
          <w:p w14:paraId="57A8AD49">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含能材料项目于今年5月初取得国家有关部门核准批文后，6月19日公司完成对项目实施主体江西九江国泰新材料有限公司注册资本金增至3.5亿元工作，目前该项目进展顺利。截至目前已完成001线整体施工图设计及主要设备招采工作，预计2025年初首批设备进厂安装调试，2025年6月投产，未来将形成公司发展新动能。</w:t>
            </w:r>
          </w:p>
          <w:p w14:paraId="7DF9B5AA">
            <w:pPr>
              <w:adjustRightInd w:val="0"/>
              <w:snapToGrid w:val="0"/>
              <w:spacing w:line="336" w:lineRule="auto"/>
              <w:ind w:firstLine="480" w:firstLineChars="200"/>
              <w:rPr>
                <w:rFonts w:ascii="宋体" w:hAnsi="宋体" w:cs="宋体"/>
                <w:sz w:val="24"/>
                <w:szCs w:val="24"/>
              </w:rPr>
            </w:pPr>
          </w:p>
          <w:p w14:paraId="64B0B568">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6、公司数字化转型方面有哪些亮点？</w:t>
            </w:r>
          </w:p>
          <w:p w14:paraId="4EEF53E8">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答：近年来</w:t>
            </w:r>
            <w:r>
              <w:rPr>
                <w:rFonts w:ascii="宋体" w:hAnsi="宋体" w:cs="宋体"/>
                <w:sz w:val="24"/>
                <w:szCs w:val="24"/>
              </w:rPr>
              <w:t>公司立足于数字化产业优势和数字化转型成功经验，沉淀和积累了一批个性化、定制化、高融合的工业互联网数字化解决方案</w:t>
            </w:r>
            <w:r>
              <w:rPr>
                <w:rFonts w:hint="eastAsia" w:ascii="宋体" w:hAnsi="宋体" w:cs="宋体"/>
                <w:sz w:val="24"/>
                <w:szCs w:val="24"/>
              </w:rPr>
              <w:t>。2024年</w:t>
            </w:r>
            <w:r>
              <w:rPr>
                <w:rFonts w:ascii="宋体" w:hAnsi="宋体" w:cs="宋体"/>
                <w:sz w:val="24"/>
                <w:szCs w:val="24"/>
              </w:rPr>
              <w:t>国泰集团工业互联网</w:t>
            </w:r>
            <w:r>
              <w:rPr>
                <w:rFonts w:hint="eastAsia" w:ascii="宋体" w:hAnsi="宋体" w:cs="宋体"/>
                <w:sz w:val="24"/>
                <w:szCs w:val="24"/>
              </w:rPr>
              <w:t>平台顺利通过工信部动态评价，连续两年评为国家级“双跨”平台，成功</w:t>
            </w:r>
            <w:r>
              <w:rPr>
                <w:rFonts w:ascii="宋体" w:hAnsi="宋体" w:cs="宋体"/>
                <w:sz w:val="24"/>
                <w:szCs w:val="24"/>
              </w:rPr>
              <w:t>入选“2024年工业互联网500强”榜单，为</w:t>
            </w:r>
            <w:r>
              <w:rPr>
                <w:rFonts w:hint="eastAsia" w:ascii="宋体" w:hAnsi="宋体" w:cs="宋体"/>
                <w:sz w:val="24"/>
                <w:szCs w:val="24"/>
              </w:rPr>
              <w:t>江西</w:t>
            </w:r>
            <w:r>
              <w:rPr>
                <w:rFonts w:ascii="宋体" w:hAnsi="宋体" w:cs="宋体"/>
                <w:sz w:val="24"/>
                <w:szCs w:val="24"/>
              </w:rPr>
              <w:t>省首次入榜前50的工业互联网平台企业</w:t>
            </w:r>
            <w:r>
              <w:rPr>
                <w:rFonts w:hint="eastAsia" w:ascii="宋体" w:hAnsi="宋体" w:cs="宋体"/>
                <w:sz w:val="24"/>
                <w:szCs w:val="24"/>
              </w:rPr>
              <w:t>。此外，公司控股子公司融思科技、国泰利民、太格时代在精细化工、烟花爆竹、轨道交通等行业形成数字化转型案例，在智能仓储、安全管理、生产制造等领域孵化了一批工业应用App。融思科技、国泰利民还积极参与各地中小企业数字化服务商遴选工作，累计为300多家制造业中小企业提供数字化诊断服务，构建了一批制造业和中小企业数字化转型新案例。</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spacing w:line="348"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4</w:t>
            </w:r>
            <w:r>
              <w:rPr>
                <w:rFonts w:ascii="Times New Roman" w:hAnsi="Times New Roman"/>
                <w:bCs/>
                <w:iCs/>
                <w:sz w:val="24"/>
              </w:rPr>
              <w:t>年</w:t>
            </w:r>
            <w:r>
              <w:rPr>
                <w:rFonts w:hint="eastAsia" w:ascii="Times New Roman" w:hAnsi="Times New Roman"/>
                <w:bCs/>
                <w:iCs/>
                <w:sz w:val="24"/>
              </w:rPr>
              <w:t>12月</w:t>
            </w:r>
            <w:r>
              <w:rPr>
                <w:rFonts w:hint="eastAsia" w:ascii="Times New Roman" w:hAnsi="Times New Roman"/>
                <w:bCs/>
                <w:iCs/>
                <w:sz w:val="24"/>
                <w:lang w:val="en-US" w:eastAsia="zh-CN"/>
              </w:rPr>
              <w:t>5</w:t>
            </w:r>
            <w:r>
              <w:rPr>
                <w:rFonts w:ascii="Times New Roman" w:hAnsi="Times New Roman"/>
                <w:bCs/>
                <w:iCs/>
                <w:sz w:val="24"/>
              </w:rPr>
              <w:t>日</w:t>
            </w:r>
          </w:p>
        </w:tc>
      </w:tr>
    </w:tbl>
    <w:p w14:paraId="44827F39">
      <w:pPr>
        <w:adjustRightInd w:val="0"/>
        <w:snapToGrid w:val="0"/>
        <w:rPr>
          <w:rFonts w:ascii="Times New Roman" w:hAnsi="Times New Roman"/>
          <w:sz w:val="28"/>
          <w:szCs w:val="28"/>
        </w:rPr>
      </w:pPr>
      <w:bookmarkStart w:id="0" w:name="_GoBack"/>
      <w:bookmarkEnd w:id="0"/>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408E3"/>
    <w:rsid w:val="0014474A"/>
    <w:rsid w:val="001508BC"/>
    <w:rsid w:val="001549ED"/>
    <w:rsid w:val="00155533"/>
    <w:rsid w:val="00170126"/>
    <w:rsid w:val="00172A27"/>
    <w:rsid w:val="00173BDF"/>
    <w:rsid w:val="0019468E"/>
    <w:rsid w:val="001C0C03"/>
    <w:rsid w:val="001C5BB5"/>
    <w:rsid w:val="001E1523"/>
    <w:rsid w:val="001F4888"/>
    <w:rsid w:val="002037D4"/>
    <w:rsid w:val="00260223"/>
    <w:rsid w:val="00282BE8"/>
    <w:rsid w:val="002A4B4C"/>
    <w:rsid w:val="002D7F64"/>
    <w:rsid w:val="00303F67"/>
    <w:rsid w:val="003215D0"/>
    <w:rsid w:val="003333AB"/>
    <w:rsid w:val="00350817"/>
    <w:rsid w:val="00370EA2"/>
    <w:rsid w:val="00415011"/>
    <w:rsid w:val="00431986"/>
    <w:rsid w:val="004502D8"/>
    <w:rsid w:val="004609B1"/>
    <w:rsid w:val="00466ACE"/>
    <w:rsid w:val="004762D3"/>
    <w:rsid w:val="004C0239"/>
    <w:rsid w:val="004D0367"/>
    <w:rsid w:val="004D0F55"/>
    <w:rsid w:val="004E12F1"/>
    <w:rsid w:val="004F05BD"/>
    <w:rsid w:val="0054333A"/>
    <w:rsid w:val="005508BF"/>
    <w:rsid w:val="005516FE"/>
    <w:rsid w:val="005A56BD"/>
    <w:rsid w:val="005B0351"/>
    <w:rsid w:val="005D311D"/>
    <w:rsid w:val="005D3B41"/>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A6170"/>
    <w:rsid w:val="007D2B30"/>
    <w:rsid w:val="007D484F"/>
    <w:rsid w:val="00807D0E"/>
    <w:rsid w:val="00837B23"/>
    <w:rsid w:val="00856970"/>
    <w:rsid w:val="00900289"/>
    <w:rsid w:val="009A379D"/>
    <w:rsid w:val="009B4AC3"/>
    <w:rsid w:val="009C27FE"/>
    <w:rsid w:val="009E3246"/>
    <w:rsid w:val="00A6191B"/>
    <w:rsid w:val="00A628F4"/>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F44E6"/>
    <w:rsid w:val="00C528EC"/>
    <w:rsid w:val="00C5456E"/>
    <w:rsid w:val="00C9040D"/>
    <w:rsid w:val="00C96D4E"/>
    <w:rsid w:val="00CC5CA9"/>
    <w:rsid w:val="00CF0CB9"/>
    <w:rsid w:val="00CF7F22"/>
    <w:rsid w:val="00D466A6"/>
    <w:rsid w:val="00D70E55"/>
    <w:rsid w:val="00D764E4"/>
    <w:rsid w:val="00D76A2A"/>
    <w:rsid w:val="00D82ADB"/>
    <w:rsid w:val="00E06D0E"/>
    <w:rsid w:val="00E23F3C"/>
    <w:rsid w:val="00E310B8"/>
    <w:rsid w:val="00E62CB1"/>
    <w:rsid w:val="00E67BAB"/>
    <w:rsid w:val="00E76B3E"/>
    <w:rsid w:val="00EA2A0B"/>
    <w:rsid w:val="00EB3F3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220070B"/>
    <w:rsid w:val="0272649F"/>
    <w:rsid w:val="031B1925"/>
    <w:rsid w:val="040A0C52"/>
    <w:rsid w:val="04414F29"/>
    <w:rsid w:val="057E50FA"/>
    <w:rsid w:val="062E19DF"/>
    <w:rsid w:val="06B74D94"/>
    <w:rsid w:val="079F2DB5"/>
    <w:rsid w:val="07DD5908"/>
    <w:rsid w:val="086C2CFF"/>
    <w:rsid w:val="086F3FA3"/>
    <w:rsid w:val="08C40CF3"/>
    <w:rsid w:val="09C6525C"/>
    <w:rsid w:val="09F04B00"/>
    <w:rsid w:val="0A1D72FB"/>
    <w:rsid w:val="0A9172F3"/>
    <w:rsid w:val="0AD97127"/>
    <w:rsid w:val="0C112E71"/>
    <w:rsid w:val="0C702A5E"/>
    <w:rsid w:val="0E776918"/>
    <w:rsid w:val="0E8F0CEC"/>
    <w:rsid w:val="0EA06710"/>
    <w:rsid w:val="0FAE4AFF"/>
    <w:rsid w:val="0FF51325"/>
    <w:rsid w:val="108D02AC"/>
    <w:rsid w:val="10A9384D"/>
    <w:rsid w:val="112573D4"/>
    <w:rsid w:val="11882673"/>
    <w:rsid w:val="11975CCC"/>
    <w:rsid w:val="126E213E"/>
    <w:rsid w:val="12C41C61"/>
    <w:rsid w:val="12F31613"/>
    <w:rsid w:val="141F5C26"/>
    <w:rsid w:val="1450602A"/>
    <w:rsid w:val="1491634A"/>
    <w:rsid w:val="14D507B4"/>
    <w:rsid w:val="15146085"/>
    <w:rsid w:val="158F0E59"/>
    <w:rsid w:val="15E962C8"/>
    <w:rsid w:val="17090DA6"/>
    <w:rsid w:val="1761330E"/>
    <w:rsid w:val="177855D8"/>
    <w:rsid w:val="187F55E4"/>
    <w:rsid w:val="18EF7F00"/>
    <w:rsid w:val="19297D6C"/>
    <w:rsid w:val="19CC5666"/>
    <w:rsid w:val="1ACA7824"/>
    <w:rsid w:val="1B153B0F"/>
    <w:rsid w:val="1B2D6D86"/>
    <w:rsid w:val="1BD92B22"/>
    <w:rsid w:val="1CCF12B9"/>
    <w:rsid w:val="1CEA0CB6"/>
    <w:rsid w:val="1D590854"/>
    <w:rsid w:val="1DB47768"/>
    <w:rsid w:val="1E7233D8"/>
    <w:rsid w:val="1FED4FD6"/>
    <w:rsid w:val="20333C9A"/>
    <w:rsid w:val="203606F7"/>
    <w:rsid w:val="210420AB"/>
    <w:rsid w:val="213D3241"/>
    <w:rsid w:val="226E1C50"/>
    <w:rsid w:val="232C2FB8"/>
    <w:rsid w:val="23C737F1"/>
    <w:rsid w:val="2513238F"/>
    <w:rsid w:val="2522011E"/>
    <w:rsid w:val="26177D1E"/>
    <w:rsid w:val="26FA6683"/>
    <w:rsid w:val="27A41130"/>
    <w:rsid w:val="27E730D2"/>
    <w:rsid w:val="28740B91"/>
    <w:rsid w:val="29333E09"/>
    <w:rsid w:val="293765A7"/>
    <w:rsid w:val="2A396FA8"/>
    <w:rsid w:val="2AC55599"/>
    <w:rsid w:val="2ADE3EBE"/>
    <w:rsid w:val="2B2A2B97"/>
    <w:rsid w:val="2B9E1F94"/>
    <w:rsid w:val="2C742F1C"/>
    <w:rsid w:val="2C8974F1"/>
    <w:rsid w:val="2C8D1007"/>
    <w:rsid w:val="2D4F45EC"/>
    <w:rsid w:val="2DBC19FE"/>
    <w:rsid w:val="2E484523"/>
    <w:rsid w:val="30091B5C"/>
    <w:rsid w:val="301402BF"/>
    <w:rsid w:val="30371B9A"/>
    <w:rsid w:val="31A53D8D"/>
    <w:rsid w:val="3208431E"/>
    <w:rsid w:val="32440EDC"/>
    <w:rsid w:val="32654D10"/>
    <w:rsid w:val="326C0551"/>
    <w:rsid w:val="328C0AF9"/>
    <w:rsid w:val="33690F44"/>
    <w:rsid w:val="33CE2331"/>
    <w:rsid w:val="356B0A3B"/>
    <w:rsid w:val="362C4BA3"/>
    <w:rsid w:val="36704ABB"/>
    <w:rsid w:val="373C3BA7"/>
    <w:rsid w:val="37F25E82"/>
    <w:rsid w:val="385653BD"/>
    <w:rsid w:val="38CD681E"/>
    <w:rsid w:val="38DC5496"/>
    <w:rsid w:val="39760E2C"/>
    <w:rsid w:val="39AE48B3"/>
    <w:rsid w:val="39D37144"/>
    <w:rsid w:val="39D4375B"/>
    <w:rsid w:val="39D964F3"/>
    <w:rsid w:val="39DC36C8"/>
    <w:rsid w:val="3A3042F0"/>
    <w:rsid w:val="3A4D0C68"/>
    <w:rsid w:val="3A5B4367"/>
    <w:rsid w:val="3A811C01"/>
    <w:rsid w:val="3A953F23"/>
    <w:rsid w:val="3ABA309F"/>
    <w:rsid w:val="3BD0316A"/>
    <w:rsid w:val="3BEE40FB"/>
    <w:rsid w:val="3C3C4F74"/>
    <w:rsid w:val="3C5C4961"/>
    <w:rsid w:val="3E7551CA"/>
    <w:rsid w:val="3ED846AD"/>
    <w:rsid w:val="3FD2226D"/>
    <w:rsid w:val="40095F44"/>
    <w:rsid w:val="401B340B"/>
    <w:rsid w:val="40293542"/>
    <w:rsid w:val="4037674B"/>
    <w:rsid w:val="40F912CC"/>
    <w:rsid w:val="41557C10"/>
    <w:rsid w:val="42A329D9"/>
    <w:rsid w:val="431B63A1"/>
    <w:rsid w:val="469B1418"/>
    <w:rsid w:val="46CE0C62"/>
    <w:rsid w:val="46F56910"/>
    <w:rsid w:val="47413903"/>
    <w:rsid w:val="47D546FC"/>
    <w:rsid w:val="481E5EE0"/>
    <w:rsid w:val="484F0AC7"/>
    <w:rsid w:val="48562A5D"/>
    <w:rsid w:val="48D2515B"/>
    <w:rsid w:val="4933371F"/>
    <w:rsid w:val="49B37CF3"/>
    <w:rsid w:val="4A1C0F29"/>
    <w:rsid w:val="4A9F3C99"/>
    <w:rsid w:val="4B7B1369"/>
    <w:rsid w:val="4BDB5432"/>
    <w:rsid w:val="4C0E4530"/>
    <w:rsid w:val="4D171D2A"/>
    <w:rsid w:val="4D2224A6"/>
    <w:rsid w:val="4D4B521F"/>
    <w:rsid w:val="4DF5519C"/>
    <w:rsid w:val="4E004A5C"/>
    <w:rsid w:val="4E5D1EF1"/>
    <w:rsid w:val="4E9133C2"/>
    <w:rsid w:val="4EED3194"/>
    <w:rsid w:val="4F376605"/>
    <w:rsid w:val="50CE348B"/>
    <w:rsid w:val="51A83C8D"/>
    <w:rsid w:val="524D6C8F"/>
    <w:rsid w:val="53811229"/>
    <w:rsid w:val="53E607EA"/>
    <w:rsid w:val="546F389A"/>
    <w:rsid w:val="554C3B9F"/>
    <w:rsid w:val="557378ED"/>
    <w:rsid w:val="55E40C52"/>
    <w:rsid w:val="57204F99"/>
    <w:rsid w:val="579C7722"/>
    <w:rsid w:val="583F204E"/>
    <w:rsid w:val="58AE5E7C"/>
    <w:rsid w:val="59072908"/>
    <w:rsid w:val="595E459B"/>
    <w:rsid w:val="59817DB6"/>
    <w:rsid w:val="5A7D0C9E"/>
    <w:rsid w:val="5A8E4C59"/>
    <w:rsid w:val="5AD41F13"/>
    <w:rsid w:val="5BFA6489"/>
    <w:rsid w:val="5BFB3C44"/>
    <w:rsid w:val="5C6B3654"/>
    <w:rsid w:val="5CE91611"/>
    <w:rsid w:val="5D2D269B"/>
    <w:rsid w:val="5D5201C0"/>
    <w:rsid w:val="5DC9716E"/>
    <w:rsid w:val="5DDE5652"/>
    <w:rsid w:val="5E4F3FF8"/>
    <w:rsid w:val="5E613EA4"/>
    <w:rsid w:val="5EDF54D4"/>
    <w:rsid w:val="5F8D54E0"/>
    <w:rsid w:val="5FEA56D8"/>
    <w:rsid w:val="607313C1"/>
    <w:rsid w:val="60B66CA4"/>
    <w:rsid w:val="60E640CC"/>
    <w:rsid w:val="60FD3B15"/>
    <w:rsid w:val="62315391"/>
    <w:rsid w:val="62B05907"/>
    <w:rsid w:val="62C108C4"/>
    <w:rsid w:val="634927F8"/>
    <w:rsid w:val="639208BE"/>
    <w:rsid w:val="63921342"/>
    <w:rsid w:val="64086639"/>
    <w:rsid w:val="64287ECD"/>
    <w:rsid w:val="6498572D"/>
    <w:rsid w:val="64B9162B"/>
    <w:rsid w:val="65D976D1"/>
    <w:rsid w:val="66247BB8"/>
    <w:rsid w:val="663740B6"/>
    <w:rsid w:val="665C68CF"/>
    <w:rsid w:val="66601051"/>
    <w:rsid w:val="667667E2"/>
    <w:rsid w:val="66902670"/>
    <w:rsid w:val="66F75934"/>
    <w:rsid w:val="6710771C"/>
    <w:rsid w:val="678E1D9F"/>
    <w:rsid w:val="679D374F"/>
    <w:rsid w:val="68053E8D"/>
    <w:rsid w:val="69236347"/>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F433BCC"/>
    <w:rsid w:val="6F595014"/>
    <w:rsid w:val="706A2341"/>
    <w:rsid w:val="713D060F"/>
    <w:rsid w:val="71B6320B"/>
    <w:rsid w:val="72075026"/>
    <w:rsid w:val="722608CA"/>
    <w:rsid w:val="72DF1AB0"/>
    <w:rsid w:val="730B5005"/>
    <w:rsid w:val="732B0626"/>
    <w:rsid w:val="73C4721C"/>
    <w:rsid w:val="73FE0E42"/>
    <w:rsid w:val="74314109"/>
    <w:rsid w:val="745B2A20"/>
    <w:rsid w:val="74911176"/>
    <w:rsid w:val="749E60E7"/>
    <w:rsid w:val="74F846EB"/>
    <w:rsid w:val="755D4A2E"/>
    <w:rsid w:val="76044EAD"/>
    <w:rsid w:val="7614107A"/>
    <w:rsid w:val="763E50EE"/>
    <w:rsid w:val="76D07EF6"/>
    <w:rsid w:val="77565CA2"/>
    <w:rsid w:val="77CA4C87"/>
    <w:rsid w:val="78093CAC"/>
    <w:rsid w:val="78607595"/>
    <w:rsid w:val="788861F9"/>
    <w:rsid w:val="78CA023E"/>
    <w:rsid w:val="795D77B7"/>
    <w:rsid w:val="79BD7ABA"/>
    <w:rsid w:val="7A2F7E05"/>
    <w:rsid w:val="7AAA5956"/>
    <w:rsid w:val="7AAC015C"/>
    <w:rsid w:val="7AB5242F"/>
    <w:rsid w:val="7AF87737"/>
    <w:rsid w:val="7B0B1932"/>
    <w:rsid w:val="7B1D2DF5"/>
    <w:rsid w:val="7B292635"/>
    <w:rsid w:val="7B2A3C6E"/>
    <w:rsid w:val="7B5629F9"/>
    <w:rsid w:val="7B871525"/>
    <w:rsid w:val="7C3073CD"/>
    <w:rsid w:val="7D236D81"/>
    <w:rsid w:val="7D2C2DAC"/>
    <w:rsid w:val="7DA82D60"/>
    <w:rsid w:val="7E1249E7"/>
    <w:rsid w:val="7E8779D6"/>
    <w:rsid w:val="7EEA25C1"/>
    <w:rsid w:val="7FA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1784</Words>
  <Characters>1992</Characters>
  <Lines>15</Lines>
  <Paragraphs>4</Paragraphs>
  <TotalTime>48</TotalTime>
  <ScaleCrop>false</ScaleCrop>
  <LinksUpToDate>false</LinksUpToDate>
  <CharactersWithSpaces>2071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2024-12-05T00:33:00Z</cp:lastPrinted>
  <dcterms:modified xsi:type="dcterms:W3CDTF">2024-12-05T01:32:32Z</dcterms:modified>
  <dc:title>投资者关系活动记录表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DE83B0914583404C96901988A5D4AD14_13</vt:lpwstr>
  </property>
</Properties>
</file>