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0F7" w:rsidRDefault="00915EE6">
      <w:pPr>
        <w:pStyle w:val="a3"/>
        <w:tabs>
          <w:tab w:val="left" w:pos="6071"/>
        </w:tabs>
        <w:spacing w:line="360" w:lineRule="auto"/>
        <w:ind w:left="0" w:right="222"/>
        <w:jc w:val="right"/>
        <w:rPr>
          <w:lang w:eastAsia="zh-CN"/>
        </w:rPr>
      </w:pPr>
      <w:r>
        <w:rPr>
          <w:rFonts w:hint="eastAsia"/>
          <w:lang w:eastAsia="zh-CN"/>
        </w:rPr>
        <w:t>证券代码</w:t>
      </w:r>
      <w:r>
        <w:rPr>
          <w:rFonts w:hint="eastAsia"/>
          <w:spacing w:val="-48"/>
          <w:lang w:eastAsia="zh-CN"/>
        </w:rPr>
        <w:t>：</w:t>
      </w:r>
      <w:r>
        <w:rPr>
          <w:rFonts w:cs="宋体" w:hint="eastAsia"/>
          <w:lang w:eastAsia="zh-CN"/>
        </w:rPr>
        <w:t>600061</w:t>
      </w:r>
      <w:r>
        <w:rPr>
          <w:rFonts w:cs="宋体"/>
          <w:lang w:eastAsia="zh-CN"/>
        </w:rPr>
        <w:t xml:space="preserve">                                  </w:t>
      </w:r>
      <w:r>
        <w:rPr>
          <w:rFonts w:hint="eastAsia"/>
          <w:lang w:eastAsia="zh-CN"/>
        </w:rPr>
        <w:t>证券简称</w:t>
      </w:r>
      <w:r>
        <w:rPr>
          <w:rFonts w:hint="eastAsia"/>
          <w:spacing w:val="-48"/>
          <w:lang w:eastAsia="zh-CN"/>
        </w:rPr>
        <w:t>：</w:t>
      </w:r>
      <w:r>
        <w:rPr>
          <w:rFonts w:hint="eastAsia"/>
          <w:lang w:eastAsia="zh-CN"/>
        </w:rPr>
        <w:t>国投资本</w:t>
      </w:r>
    </w:p>
    <w:p w:rsidR="002B30F7" w:rsidRDefault="002B30F7">
      <w:pPr>
        <w:spacing w:line="360" w:lineRule="auto"/>
        <w:rPr>
          <w:sz w:val="20"/>
          <w:szCs w:val="20"/>
          <w:lang w:eastAsia="zh-CN"/>
        </w:rPr>
      </w:pPr>
    </w:p>
    <w:p w:rsidR="002B30F7" w:rsidRDefault="00915EE6">
      <w:pPr>
        <w:spacing w:line="360" w:lineRule="auto"/>
        <w:jc w:val="center"/>
        <w:rPr>
          <w:rFonts w:ascii="宋体" w:eastAsia="宋体" w:hAnsi="宋体" w:cs="宋体"/>
          <w:sz w:val="32"/>
          <w:szCs w:val="32"/>
          <w:lang w:eastAsia="zh-CN"/>
        </w:rPr>
      </w:pPr>
      <w:r>
        <w:rPr>
          <w:rFonts w:ascii="宋体" w:eastAsia="宋体" w:hAnsi="宋体" w:cs="宋体" w:hint="eastAsia"/>
          <w:spacing w:val="2"/>
          <w:sz w:val="32"/>
          <w:szCs w:val="32"/>
          <w:lang w:eastAsia="zh-CN"/>
        </w:rPr>
        <w:t>国投资本股份</w:t>
      </w:r>
      <w:r>
        <w:rPr>
          <w:rFonts w:ascii="宋体" w:eastAsia="宋体" w:hAnsi="宋体" w:cs="宋体" w:hint="eastAsia"/>
          <w:sz w:val="32"/>
          <w:szCs w:val="32"/>
          <w:lang w:eastAsia="zh-CN"/>
        </w:rPr>
        <w:t>有</w:t>
      </w:r>
      <w:r>
        <w:rPr>
          <w:rFonts w:ascii="宋体" w:eastAsia="宋体" w:hAnsi="宋体" w:cs="宋体" w:hint="eastAsia"/>
          <w:spacing w:val="2"/>
          <w:sz w:val="32"/>
          <w:szCs w:val="32"/>
          <w:lang w:eastAsia="zh-CN"/>
        </w:rPr>
        <w:t>限公司投资者</w:t>
      </w:r>
      <w:r>
        <w:rPr>
          <w:rFonts w:ascii="宋体" w:eastAsia="宋体" w:hAnsi="宋体" w:cs="宋体" w:hint="eastAsia"/>
          <w:sz w:val="32"/>
          <w:szCs w:val="32"/>
          <w:lang w:eastAsia="zh-CN"/>
        </w:rPr>
        <w:t>关</w:t>
      </w:r>
      <w:r>
        <w:rPr>
          <w:rFonts w:ascii="宋体" w:eastAsia="宋体" w:hAnsi="宋体" w:cs="宋体" w:hint="eastAsia"/>
          <w:spacing w:val="2"/>
          <w:sz w:val="32"/>
          <w:szCs w:val="32"/>
          <w:lang w:eastAsia="zh-CN"/>
        </w:rPr>
        <w:t>系活动记录</w:t>
      </w:r>
      <w:r>
        <w:rPr>
          <w:rFonts w:ascii="宋体" w:eastAsia="宋体" w:hAnsi="宋体" w:cs="宋体" w:hint="eastAsia"/>
          <w:sz w:val="32"/>
          <w:szCs w:val="32"/>
          <w:lang w:eastAsia="zh-CN"/>
        </w:rPr>
        <w:t>表</w:t>
      </w:r>
    </w:p>
    <w:p w:rsidR="002B30F7" w:rsidRDefault="002B30F7">
      <w:pPr>
        <w:spacing w:line="360" w:lineRule="auto"/>
        <w:jc w:val="both"/>
        <w:rPr>
          <w:rFonts w:ascii="宋体" w:eastAsia="宋体" w:hAnsi="宋体" w:cs="宋体"/>
          <w:sz w:val="24"/>
          <w:szCs w:val="24"/>
          <w:lang w:eastAsia="zh-CN"/>
        </w:rPr>
      </w:pPr>
    </w:p>
    <w:tbl>
      <w:tblPr>
        <w:tblStyle w:val="ac"/>
        <w:tblW w:w="4999" w:type="pct"/>
        <w:jc w:val="center"/>
        <w:tblLook w:val="04A0" w:firstRow="1" w:lastRow="0" w:firstColumn="1" w:lastColumn="0" w:noHBand="0" w:noVBand="1"/>
      </w:tblPr>
      <w:tblGrid>
        <w:gridCol w:w="1286"/>
        <w:gridCol w:w="7008"/>
      </w:tblGrid>
      <w:tr w:rsidR="002B30F7">
        <w:trPr>
          <w:trHeight w:val="2075"/>
          <w:jc w:val="center"/>
        </w:trPr>
        <w:tc>
          <w:tcPr>
            <w:tcW w:w="775" w:type="pct"/>
            <w:vAlign w:val="center"/>
          </w:tcPr>
          <w:p w:rsidR="002B30F7" w:rsidRDefault="00915EE6">
            <w:pPr>
              <w:pStyle w:val="TableParagraph"/>
              <w:spacing w:line="36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投资者关系</w:t>
            </w:r>
            <w:r>
              <w:rPr>
                <w:rFonts w:ascii="宋体" w:eastAsia="宋体" w:hAnsi="宋体" w:cs="宋体"/>
                <w:sz w:val="24"/>
                <w:szCs w:val="24"/>
                <w:lang w:eastAsia="zh-CN"/>
              </w:rPr>
              <w:t>活动</w:t>
            </w:r>
            <w:r>
              <w:rPr>
                <w:rFonts w:ascii="宋体" w:eastAsia="宋体" w:hAnsi="宋体" w:cs="宋体" w:hint="eastAsia"/>
                <w:sz w:val="24"/>
                <w:szCs w:val="24"/>
                <w:lang w:eastAsia="zh-CN"/>
              </w:rPr>
              <w:t>类别</w:t>
            </w:r>
          </w:p>
        </w:tc>
        <w:tc>
          <w:tcPr>
            <w:tcW w:w="4224" w:type="pct"/>
            <w:vAlign w:val="center"/>
          </w:tcPr>
          <w:p w:rsidR="002B30F7" w:rsidRDefault="00915EE6">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特定对象调研</w:t>
            </w:r>
            <w:r>
              <w:rPr>
                <w:rFonts w:ascii="宋体" w:eastAsia="宋体" w:hAnsi="宋体" w:cs="宋体" w:hint="eastAsia"/>
                <w:sz w:val="24"/>
                <w:szCs w:val="24"/>
                <w:lang w:eastAsia="zh-CN"/>
              </w:rPr>
              <w:tab/>
              <w:t>□ 分析师会议</w:t>
            </w:r>
          </w:p>
          <w:p w:rsidR="002B30F7" w:rsidRDefault="00915EE6">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媒体采访 </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ab/>
              <w:t>□ 业绩说明会</w:t>
            </w:r>
          </w:p>
          <w:p w:rsidR="002B30F7" w:rsidRDefault="00915EE6">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新闻发布会</w:t>
            </w:r>
            <w:r>
              <w:rPr>
                <w:rFonts w:ascii="宋体" w:eastAsia="宋体" w:hAnsi="宋体" w:cs="宋体" w:hint="eastAsia"/>
                <w:sz w:val="24"/>
                <w:szCs w:val="24"/>
                <w:lang w:eastAsia="zh-CN"/>
              </w:rPr>
              <w:tab/>
              <w:t xml:space="preserve">□ 现场参观 </w:t>
            </w:r>
          </w:p>
          <w:p w:rsidR="002B30F7" w:rsidRDefault="00915EE6">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 xml:space="preserve">路演活动 </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ab/>
              <w:t>□</w:t>
            </w:r>
            <w:r>
              <w:rPr>
                <w:rFonts w:ascii="宋体" w:eastAsia="宋体" w:hAnsi="宋体" w:cs="宋体"/>
                <w:sz w:val="24"/>
                <w:szCs w:val="24"/>
                <w:lang w:eastAsia="zh-CN"/>
              </w:rPr>
              <w:t xml:space="preserve"> </w:t>
            </w:r>
            <w:r>
              <w:rPr>
                <w:rFonts w:ascii="宋体" w:eastAsia="宋体" w:hAnsi="宋体" w:cs="宋体" w:hint="eastAsia"/>
                <w:sz w:val="24"/>
                <w:szCs w:val="24"/>
                <w:lang w:eastAsia="zh-CN"/>
              </w:rPr>
              <w:t>一对一沟通</w:t>
            </w:r>
          </w:p>
          <w:p w:rsidR="002B30F7" w:rsidRDefault="00915EE6">
            <w:pPr>
              <w:pStyle w:val="TableParagraph"/>
              <w:tabs>
                <w:tab w:val="left" w:pos="334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其他_</w:t>
            </w:r>
            <w:r>
              <w:rPr>
                <w:rFonts w:ascii="宋体" w:eastAsia="宋体" w:hAnsi="宋体" w:cs="宋体"/>
                <w:sz w:val="24"/>
                <w:szCs w:val="24"/>
                <w:lang w:eastAsia="zh-CN"/>
              </w:rPr>
              <w:t>___________</w:t>
            </w:r>
            <w:r>
              <w:rPr>
                <w:rFonts w:ascii="宋体" w:eastAsia="宋体" w:hAnsi="宋体" w:cs="宋体" w:hint="eastAsia"/>
                <w:sz w:val="24"/>
                <w:szCs w:val="24"/>
                <w:lang w:eastAsia="zh-CN"/>
              </w:rPr>
              <w:t xml:space="preserve"> </w:t>
            </w:r>
          </w:p>
        </w:tc>
      </w:tr>
      <w:tr w:rsidR="002B30F7">
        <w:trPr>
          <w:trHeight w:val="416"/>
          <w:jc w:val="center"/>
        </w:trPr>
        <w:tc>
          <w:tcPr>
            <w:tcW w:w="775" w:type="pct"/>
            <w:vAlign w:val="center"/>
          </w:tcPr>
          <w:p w:rsidR="002B30F7" w:rsidRDefault="00915EE6">
            <w:pPr>
              <w:pStyle w:val="TableParagraph"/>
              <w:spacing w:line="360" w:lineRule="auto"/>
              <w:jc w:val="center"/>
              <w:rPr>
                <w:rFonts w:ascii="宋体" w:eastAsia="宋体" w:hAnsi="宋体" w:cs="宋体"/>
                <w:spacing w:val="2"/>
                <w:sz w:val="24"/>
                <w:szCs w:val="24"/>
              </w:rPr>
            </w:pPr>
            <w:r>
              <w:rPr>
                <w:rFonts w:ascii="宋体" w:eastAsia="宋体" w:hAnsi="宋体" w:cs="宋体" w:hint="eastAsia"/>
                <w:sz w:val="24"/>
                <w:szCs w:val="24"/>
                <w:lang w:eastAsia="zh-CN"/>
              </w:rPr>
              <w:t>时间</w:t>
            </w:r>
          </w:p>
        </w:tc>
        <w:tc>
          <w:tcPr>
            <w:tcW w:w="4224" w:type="pct"/>
            <w:vAlign w:val="center"/>
          </w:tcPr>
          <w:p w:rsidR="002B30F7" w:rsidRDefault="00915EE6">
            <w:pPr>
              <w:pStyle w:val="TableParagraph"/>
              <w:tabs>
                <w:tab w:val="left" w:pos="2022"/>
                <w:tab w:val="left" w:pos="2502"/>
                <w:tab w:val="left" w:pos="3342"/>
                <w:tab w:val="left" w:pos="490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rPr>
              <w:t>20</w:t>
            </w:r>
            <w:r>
              <w:rPr>
                <w:rFonts w:ascii="宋体" w:eastAsia="宋体" w:hAnsi="宋体" w:cs="宋体"/>
                <w:sz w:val="24"/>
                <w:szCs w:val="24"/>
              </w:rPr>
              <w:t>24</w:t>
            </w:r>
            <w:r>
              <w:rPr>
                <w:rFonts w:ascii="宋体" w:eastAsia="宋体" w:hAnsi="宋体" w:cs="宋体" w:hint="eastAsia"/>
                <w:sz w:val="24"/>
                <w:szCs w:val="24"/>
              </w:rPr>
              <w:t>年</w:t>
            </w:r>
            <w:r>
              <w:rPr>
                <w:rFonts w:ascii="宋体" w:eastAsia="宋体" w:hAnsi="宋体" w:cs="宋体"/>
                <w:sz w:val="24"/>
                <w:szCs w:val="24"/>
                <w:lang w:eastAsia="zh-CN"/>
              </w:rPr>
              <w:t>12</w:t>
            </w:r>
            <w:r>
              <w:rPr>
                <w:rFonts w:ascii="宋体" w:eastAsia="宋体" w:hAnsi="宋体" w:cs="宋体" w:hint="eastAsia"/>
                <w:sz w:val="24"/>
                <w:szCs w:val="24"/>
              </w:rPr>
              <w:t>月</w:t>
            </w:r>
            <w:r>
              <w:rPr>
                <w:rFonts w:ascii="宋体" w:eastAsia="宋体" w:hAnsi="宋体" w:cs="宋体"/>
                <w:sz w:val="24"/>
                <w:szCs w:val="24"/>
                <w:lang w:eastAsia="zh-CN"/>
              </w:rPr>
              <w:t>4</w:t>
            </w:r>
            <w:r>
              <w:rPr>
                <w:rFonts w:ascii="宋体" w:eastAsia="宋体" w:hAnsi="宋体" w:cs="宋体" w:hint="eastAsia"/>
                <w:sz w:val="24"/>
                <w:szCs w:val="24"/>
              </w:rPr>
              <w:t>日</w:t>
            </w:r>
            <w:r>
              <w:rPr>
                <w:rFonts w:ascii="宋体" w:eastAsia="宋体" w:hAnsi="宋体" w:cs="宋体"/>
                <w:sz w:val="24"/>
                <w:szCs w:val="24"/>
                <w:lang w:eastAsia="zh-CN"/>
              </w:rPr>
              <w:t xml:space="preserve"> </w:t>
            </w:r>
          </w:p>
        </w:tc>
      </w:tr>
      <w:tr w:rsidR="002B30F7">
        <w:trPr>
          <w:trHeight w:val="416"/>
          <w:jc w:val="center"/>
        </w:trPr>
        <w:tc>
          <w:tcPr>
            <w:tcW w:w="775" w:type="pct"/>
            <w:vAlign w:val="center"/>
          </w:tcPr>
          <w:p w:rsidR="002B30F7" w:rsidRDefault="00915EE6">
            <w:pPr>
              <w:pStyle w:val="TableParagraph"/>
              <w:spacing w:line="360" w:lineRule="auto"/>
              <w:jc w:val="center"/>
              <w:rPr>
                <w:rFonts w:ascii="宋体" w:eastAsia="宋体" w:hAnsi="宋体" w:cs="宋体"/>
                <w:spacing w:val="2"/>
                <w:sz w:val="24"/>
                <w:szCs w:val="24"/>
              </w:rPr>
            </w:pPr>
            <w:r>
              <w:rPr>
                <w:rFonts w:ascii="宋体" w:eastAsia="宋体" w:hAnsi="宋体" w:cs="宋体" w:hint="eastAsia"/>
                <w:spacing w:val="2"/>
                <w:sz w:val="24"/>
                <w:szCs w:val="24"/>
                <w:lang w:eastAsia="zh-CN"/>
              </w:rPr>
              <w:t>地点</w:t>
            </w:r>
          </w:p>
        </w:tc>
        <w:tc>
          <w:tcPr>
            <w:tcW w:w="4224" w:type="pct"/>
            <w:vAlign w:val="center"/>
          </w:tcPr>
          <w:p w:rsidR="002B30F7" w:rsidRDefault="00915EE6">
            <w:pPr>
              <w:pStyle w:val="TableParagraph"/>
              <w:tabs>
                <w:tab w:val="left" w:pos="2022"/>
                <w:tab w:val="left" w:pos="2502"/>
                <w:tab w:val="left" w:pos="3342"/>
                <w:tab w:val="left" w:pos="4902"/>
                <w:tab w:val="left" w:pos="5382"/>
              </w:tabs>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深圳，现场交流</w:t>
            </w:r>
            <w:r>
              <w:rPr>
                <w:rFonts w:ascii="宋体" w:eastAsia="宋体" w:hAnsi="宋体" w:cs="宋体"/>
                <w:sz w:val="24"/>
                <w:szCs w:val="24"/>
                <w:lang w:eastAsia="zh-CN"/>
              </w:rPr>
              <w:t xml:space="preserve"> </w:t>
            </w:r>
          </w:p>
        </w:tc>
      </w:tr>
      <w:tr w:rsidR="002B30F7">
        <w:trPr>
          <w:trHeight w:val="483"/>
          <w:jc w:val="center"/>
        </w:trPr>
        <w:tc>
          <w:tcPr>
            <w:tcW w:w="775" w:type="pct"/>
            <w:vAlign w:val="center"/>
          </w:tcPr>
          <w:p w:rsidR="002B30F7" w:rsidRDefault="00915EE6">
            <w:pPr>
              <w:pStyle w:val="TableParagraph"/>
              <w:spacing w:before="75" w:line="360" w:lineRule="auto"/>
              <w:ind w:right="140"/>
              <w:jc w:val="center"/>
              <w:rPr>
                <w:rFonts w:ascii="宋体" w:eastAsia="宋体" w:hAnsi="宋体" w:cs="宋体"/>
                <w:sz w:val="24"/>
                <w:szCs w:val="24"/>
                <w:lang w:eastAsia="zh-CN"/>
              </w:rPr>
            </w:pPr>
            <w:r w:rsidRPr="00A50ACE">
              <w:rPr>
                <w:rFonts w:ascii="宋体" w:eastAsia="宋体" w:hAnsi="宋体" w:cs="宋体" w:hint="eastAsia"/>
                <w:spacing w:val="2"/>
                <w:sz w:val="24"/>
                <w:szCs w:val="24"/>
                <w:lang w:eastAsia="zh-CN"/>
              </w:rPr>
              <w:t>参</w:t>
            </w:r>
            <w:r w:rsidRPr="00A50ACE">
              <w:rPr>
                <w:rFonts w:ascii="宋体" w:eastAsia="宋体" w:hAnsi="宋体" w:cs="宋体" w:hint="eastAsia"/>
                <w:sz w:val="24"/>
                <w:szCs w:val="24"/>
                <w:lang w:eastAsia="zh-CN"/>
              </w:rPr>
              <w:t>与</w:t>
            </w:r>
            <w:r w:rsidRPr="00A50ACE">
              <w:rPr>
                <w:rFonts w:ascii="宋体" w:eastAsia="宋体" w:hAnsi="宋体" w:cs="宋体" w:hint="eastAsia"/>
                <w:spacing w:val="2"/>
                <w:sz w:val="24"/>
                <w:szCs w:val="24"/>
                <w:lang w:eastAsia="zh-CN"/>
              </w:rPr>
              <w:t>单位名称</w:t>
            </w:r>
          </w:p>
        </w:tc>
        <w:tc>
          <w:tcPr>
            <w:tcW w:w="4224" w:type="pct"/>
            <w:vAlign w:val="center"/>
          </w:tcPr>
          <w:p w:rsidR="002B30F7" w:rsidRDefault="00915EE6">
            <w:pPr>
              <w:pStyle w:val="TableParagraph"/>
              <w:tabs>
                <w:tab w:val="left" w:pos="2022"/>
                <w:tab w:val="left" w:pos="2502"/>
                <w:tab w:val="left" w:pos="3342"/>
                <w:tab w:val="left" w:pos="4782"/>
              </w:tabs>
              <w:spacing w:line="360" w:lineRule="auto"/>
              <w:rPr>
                <w:rFonts w:ascii="宋体" w:eastAsia="宋体" w:hAnsi="宋体" w:cs="宋体" w:hint="eastAsia"/>
                <w:sz w:val="24"/>
                <w:szCs w:val="24"/>
                <w:lang w:eastAsia="zh-CN"/>
              </w:rPr>
            </w:pPr>
            <w:r>
              <w:rPr>
                <w:rFonts w:ascii="宋体" w:eastAsia="宋体" w:hAnsi="宋体" w:cs="宋体"/>
                <w:sz w:val="24"/>
                <w:szCs w:val="24"/>
                <w:lang w:eastAsia="zh-CN"/>
              </w:rPr>
              <w:t>嘉实基金、广州汇川私募证券投资基金</w:t>
            </w:r>
            <w:r w:rsidR="000148E9">
              <w:rPr>
                <w:rFonts w:ascii="宋体" w:eastAsia="宋体" w:hAnsi="宋体" w:cs="宋体" w:hint="eastAsia"/>
                <w:sz w:val="24"/>
                <w:szCs w:val="24"/>
                <w:lang w:eastAsia="zh-CN"/>
              </w:rPr>
              <w:t>、</w:t>
            </w:r>
            <w:r w:rsidR="000148E9" w:rsidRPr="000148E9">
              <w:rPr>
                <w:rFonts w:ascii="宋体" w:eastAsia="宋体" w:hAnsi="宋体" w:cs="宋体" w:hint="eastAsia"/>
                <w:sz w:val="24"/>
                <w:szCs w:val="24"/>
                <w:lang w:eastAsia="zh-CN"/>
              </w:rPr>
              <w:t>宝盈基金</w:t>
            </w:r>
            <w:r w:rsidR="000148E9">
              <w:rPr>
                <w:rFonts w:ascii="宋体" w:eastAsia="宋体" w:hAnsi="宋体" w:cs="宋体" w:hint="eastAsia"/>
                <w:sz w:val="24"/>
                <w:szCs w:val="24"/>
                <w:lang w:eastAsia="zh-CN"/>
              </w:rPr>
              <w:t>、红塔红土基金、生命资产、</w:t>
            </w:r>
            <w:proofErr w:type="gramStart"/>
            <w:r w:rsidR="000148E9">
              <w:rPr>
                <w:rFonts w:ascii="宋体" w:eastAsia="宋体" w:hAnsi="宋体" w:cs="宋体"/>
                <w:sz w:val="24"/>
                <w:szCs w:val="24"/>
                <w:lang w:eastAsia="zh-CN"/>
              </w:rPr>
              <w:t>融创投资</w:t>
            </w:r>
            <w:bookmarkStart w:id="0" w:name="_GoBack"/>
            <w:bookmarkEnd w:id="0"/>
            <w:proofErr w:type="gramEnd"/>
          </w:p>
        </w:tc>
      </w:tr>
      <w:tr w:rsidR="002B30F7">
        <w:trPr>
          <w:trHeight w:val="823"/>
          <w:jc w:val="center"/>
        </w:trPr>
        <w:tc>
          <w:tcPr>
            <w:tcW w:w="775" w:type="pct"/>
            <w:vAlign w:val="center"/>
          </w:tcPr>
          <w:p w:rsidR="002B30F7" w:rsidRDefault="00915EE6">
            <w:pPr>
              <w:pStyle w:val="TableParagraph"/>
              <w:spacing w:line="360" w:lineRule="auto"/>
              <w:jc w:val="center"/>
              <w:rPr>
                <w:rFonts w:ascii="宋体" w:eastAsia="宋体" w:hAnsi="宋体" w:cs="宋体"/>
                <w:spacing w:val="2"/>
                <w:sz w:val="24"/>
                <w:szCs w:val="24"/>
              </w:rPr>
            </w:pPr>
            <w:proofErr w:type="spellStart"/>
            <w:r>
              <w:rPr>
                <w:rFonts w:ascii="宋体" w:eastAsia="宋体" w:hAnsi="宋体" w:cs="宋体" w:hint="eastAsia"/>
                <w:spacing w:val="2"/>
                <w:sz w:val="24"/>
                <w:szCs w:val="24"/>
              </w:rPr>
              <w:t>上</w:t>
            </w:r>
            <w:r>
              <w:rPr>
                <w:rFonts w:ascii="宋体" w:eastAsia="宋体" w:hAnsi="宋体" w:cs="宋体" w:hint="eastAsia"/>
                <w:sz w:val="24"/>
                <w:szCs w:val="24"/>
              </w:rPr>
              <w:t>市</w:t>
            </w:r>
            <w:r>
              <w:rPr>
                <w:rFonts w:ascii="宋体" w:eastAsia="宋体" w:hAnsi="宋体" w:cs="宋体" w:hint="eastAsia"/>
                <w:spacing w:val="2"/>
                <w:sz w:val="24"/>
                <w:szCs w:val="24"/>
              </w:rPr>
              <w:t>公司</w:t>
            </w:r>
            <w:proofErr w:type="spellEnd"/>
          </w:p>
          <w:p w:rsidR="002B30F7" w:rsidRDefault="00915EE6">
            <w:pPr>
              <w:pStyle w:val="TableParagraph"/>
              <w:spacing w:line="360" w:lineRule="auto"/>
              <w:jc w:val="center"/>
              <w:rPr>
                <w:rFonts w:ascii="宋体" w:eastAsia="宋体" w:hAnsi="宋体" w:cs="宋体"/>
                <w:sz w:val="24"/>
                <w:szCs w:val="24"/>
              </w:rPr>
            </w:pPr>
            <w:proofErr w:type="spellStart"/>
            <w:r>
              <w:rPr>
                <w:rFonts w:ascii="宋体" w:eastAsia="宋体" w:hAnsi="宋体" w:cs="宋体" w:hint="eastAsia"/>
                <w:spacing w:val="2"/>
                <w:sz w:val="24"/>
                <w:szCs w:val="24"/>
              </w:rPr>
              <w:t>出</w:t>
            </w:r>
            <w:r>
              <w:rPr>
                <w:rFonts w:ascii="宋体" w:eastAsia="宋体" w:hAnsi="宋体" w:cs="宋体" w:hint="eastAsia"/>
                <w:sz w:val="24"/>
                <w:szCs w:val="24"/>
              </w:rPr>
              <w:t>席</w:t>
            </w:r>
            <w:r>
              <w:rPr>
                <w:rFonts w:ascii="宋体" w:eastAsia="宋体" w:hAnsi="宋体" w:cs="宋体" w:hint="eastAsia"/>
                <w:spacing w:val="2"/>
                <w:sz w:val="24"/>
                <w:szCs w:val="24"/>
              </w:rPr>
              <w:t>人员</w:t>
            </w:r>
            <w:proofErr w:type="spellEnd"/>
          </w:p>
        </w:tc>
        <w:tc>
          <w:tcPr>
            <w:tcW w:w="4224" w:type="pct"/>
            <w:vAlign w:val="center"/>
          </w:tcPr>
          <w:p w:rsidR="002B30F7" w:rsidRDefault="00915EE6">
            <w:pPr>
              <w:pStyle w:val="TableParagraph"/>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副总经理兼董事会秘书 于晓扬</w:t>
            </w:r>
          </w:p>
          <w:p w:rsidR="002B30F7" w:rsidRDefault="00915EE6">
            <w:pPr>
              <w:pStyle w:val="TableParagraph"/>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I</w:t>
            </w:r>
            <w:r>
              <w:rPr>
                <w:rFonts w:ascii="宋体" w:eastAsia="宋体" w:hAnsi="宋体" w:cs="宋体"/>
                <w:sz w:val="24"/>
                <w:szCs w:val="24"/>
                <w:lang w:eastAsia="zh-CN"/>
              </w:rPr>
              <w:t xml:space="preserve">R </w:t>
            </w:r>
            <w:proofErr w:type="gramStart"/>
            <w:r>
              <w:rPr>
                <w:rFonts w:ascii="宋体" w:eastAsia="宋体" w:hAnsi="宋体" w:cs="宋体" w:hint="eastAsia"/>
                <w:sz w:val="24"/>
                <w:szCs w:val="24"/>
                <w:lang w:eastAsia="zh-CN"/>
              </w:rPr>
              <w:t>王敬琪</w:t>
            </w:r>
            <w:proofErr w:type="gramEnd"/>
          </w:p>
        </w:tc>
      </w:tr>
      <w:tr w:rsidR="002B30F7">
        <w:trPr>
          <w:trHeight w:val="1360"/>
          <w:jc w:val="center"/>
        </w:trPr>
        <w:tc>
          <w:tcPr>
            <w:tcW w:w="775" w:type="pct"/>
            <w:vAlign w:val="center"/>
          </w:tcPr>
          <w:p w:rsidR="002B30F7" w:rsidRDefault="00915EE6">
            <w:pPr>
              <w:pStyle w:val="TableParagraph"/>
              <w:spacing w:line="360" w:lineRule="auto"/>
              <w:jc w:val="center"/>
              <w:rPr>
                <w:rFonts w:ascii="宋体" w:eastAsia="宋体" w:hAnsi="宋体" w:cs="宋体"/>
                <w:sz w:val="24"/>
                <w:szCs w:val="24"/>
                <w:lang w:eastAsia="zh-CN"/>
              </w:rPr>
            </w:pPr>
            <w:r>
              <w:rPr>
                <w:rFonts w:ascii="宋体" w:eastAsia="宋体" w:hAnsi="宋体" w:cs="宋体" w:hint="eastAsia"/>
                <w:spacing w:val="2"/>
                <w:sz w:val="24"/>
                <w:szCs w:val="24"/>
                <w:lang w:eastAsia="zh-CN"/>
              </w:rPr>
              <w:t>投资者关系</w:t>
            </w:r>
            <w:r>
              <w:rPr>
                <w:rFonts w:ascii="宋体" w:eastAsia="宋体" w:hAnsi="宋体" w:cs="宋体" w:hint="eastAsia"/>
                <w:sz w:val="24"/>
                <w:szCs w:val="24"/>
                <w:lang w:eastAsia="zh-CN"/>
              </w:rPr>
              <w:t>活动</w:t>
            </w:r>
            <w:r>
              <w:rPr>
                <w:rFonts w:ascii="宋体" w:eastAsia="宋体" w:hAnsi="宋体" w:cs="宋体" w:hint="eastAsia"/>
                <w:spacing w:val="2"/>
                <w:sz w:val="24"/>
                <w:szCs w:val="24"/>
                <w:lang w:eastAsia="zh-CN"/>
              </w:rPr>
              <w:t>主</w:t>
            </w:r>
            <w:r>
              <w:rPr>
                <w:rFonts w:ascii="宋体" w:eastAsia="宋体" w:hAnsi="宋体" w:cs="宋体" w:hint="eastAsia"/>
                <w:sz w:val="24"/>
                <w:szCs w:val="24"/>
                <w:lang w:eastAsia="zh-CN"/>
              </w:rPr>
              <w:t>要</w:t>
            </w:r>
            <w:r>
              <w:rPr>
                <w:rFonts w:ascii="宋体" w:eastAsia="宋体" w:hAnsi="宋体" w:cs="宋体" w:hint="eastAsia"/>
                <w:spacing w:val="2"/>
                <w:sz w:val="24"/>
                <w:szCs w:val="24"/>
                <w:lang w:eastAsia="zh-CN"/>
              </w:rPr>
              <w:t>内容</w:t>
            </w:r>
          </w:p>
        </w:tc>
        <w:tc>
          <w:tcPr>
            <w:tcW w:w="4224" w:type="pct"/>
          </w:tcPr>
          <w:p w:rsidR="002B30F7" w:rsidRDefault="00915EE6">
            <w:pPr>
              <w:spacing w:line="360" w:lineRule="auto"/>
              <w:jc w:val="both"/>
              <w:rPr>
                <w:rFonts w:ascii="宋体" w:eastAsia="宋体" w:hAnsi="宋体" w:cs="宋体"/>
                <w:b/>
                <w:sz w:val="24"/>
                <w:szCs w:val="24"/>
                <w:lang w:eastAsia="zh-CN"/>
              </w:rPr>
            </w:pPr>
            <w:r>
              <w:rPr>
                <w:rFonts w:ascii="宋体" w:eastAsia="宋体" w:hAnsi="宋体" w:cs="宋体"/>
                <w:b/>
                <w:sz w:val="24"/>
                <w:szCs w:val="24"/>
                <w:lang w:eastAsia="zh-CN"/>
              </w:rPr>
              <w:t>1</w:t>
            </w:r>
            <w:r>
              <w:rPr>
                <w:rFonts w:ascii="宋体" w:eastAsia="宋体" w:hAnsi="宋体" w:cs="宋体" w:hint="eastAsia"/>
                <w:b/>
                <w:sz w:val="24"/>
                <w:szCs w:val="24"/>
                <w:lang w:eastAsia="zh-CN"/>
              </w:rPr>
              <w:t>、</w:t>
            </w:r>
            <w:r>
              <w:rPr>
                <w:rFonts w:ascii="宋体" w:eastAsia="宋体" w:hAnsi="宋体" w:cs="宋体"/>
                <w:b/>
                <w:sz w:val="24"/>
                <w:szCs w:val="24"/>
                <w:lang w:eastAsia="zh-CN"/>
              </w:rPr>
              <w:t>近一两年内，国投资本及</w:t>
            </w:r>
            <w:proofErr w:type="gramStart"/>
            <w:r>
              <w:rPr>
                <w:rFonts w:ascii="宋体" w:eastAsia="宋体" w:hAnsi="宋体" w:cs="宋体"/>
                <w:b/>
                <w:sz w:val="24"/>
                <w:szCs w:val="24"/>
                <w:lang w:eastAsia="zh-CN"/>
              </w:rPr>
              <w:t>旗下国</w:t>
            </w:r>
            <w:proofErr w:type="gramEnd"/>
            <w:r>
              <w:rPr>
                <w:rFonts w:ascii="宋体" w:eastAsia="宋体" w:hAnsi="宋体" w:cs="宋体"/>
                <w:b/>
                <w:sz w:val="24"/>
                <w:szCs w:val="24"/>
                <w:lang w:eastAsia="zh-CN"/>
              </w:rPr>
              <w:t>投证券均经历了一定的管理层变更。在新任领导层的带领下，国投资本及旗下主要子公司未来的发展战略重点在于哪些方面？</w:t>
            </w:r>
          </w:p>
          <w:p w:rsidR="002B30F7" w:rsidRDefault="00915EE6" w:rsidP="00A50ACE">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sz w:val="24"/>
                <w:szCs w:val="24"/>
                <w:lang w:eastAsia="zh-CN"/>
              </w:rPr>
              <w:t>国投资本将深入贯彻落实党的二十大和二十届二中、三中全会精神以及中央金融工作会议精神，秉持“突出核心竞争力、差异化和特色化”原则，着力打造国内</w:t>
            </w:r>
            <w:proofErr w:type="gramStart"/>
            <w:r>
              <w:rPr>
                <w:rFonts w:ascii="宋体" w:eastAsia="宋体" w:hAnsi="宋体" w:cs="宋体" w:hint="eastAsia"/>
                <w:sz w:val="24"/>
                <w:szCs w:val="24"/>
                <w:lang w:eastAsia="zh-CN"/>
              </w:rPr>
              <w:t>一流产业</w:t>
            </w:r>
            <w:proofErr w:type="gramEnd"/>
            <w:r>
              <w:rPr>
                <w:rFonts w:ascii="宋体" w:eastAsia="宋体" w:hAnsi="宋体" w:cs="宋体" w:hint="eastAsia"/>
                <w:sz w:val="24"/>
                <w:szCs w:val="24"/>
                <w:lang w:eastAsia="zh-CN"/>
              </w:rPr>
              <w:t>金融管理平台。目前公司所属金融企业正在按照战略目标、时间计划、转型路线全方位推进业务转型。国投证券将以建设有核心竞争力、突出特色的</w:t>
            </w:r>
            <w:proofErr w:type="gramStart"/>
            <w:r>
              <w:rPr>
                <w:rFonts w:ascii="宋体" w:eastAsia="宋体" w:hAnsi="宋体" w:cs="宋体" w:hint="eastAsia"/>
                <w:sz w:val="24"/>
                <w:szCs w:val="24"/>
                <w:lang w:eastAsia="zh-CN"/>
              </w:rPr>
              <w:t>一流产业投行为</w:t>
            </w:r>
            <w:proofErr w:type="gramEnd"/>
            <w:r>
              <w:rPr>
                <w:rFonts w:ascii="宋体" w:eastAsia="宋体" w:hAnsi="宋体" w:cs="宋体" w:hint="eastAsia"/>
                <w:sz w:val="24"/>
                <w:szCs w:val="24"/>
                <w:lang w:eastAsia="zh-CN"/>
              </w:rPr>
              <w:t>目标，锻造产业研究引领能力和客户综合服务能力，突出产业特色、</w:t>
            </w:r>
            <w:proofErr w:type="gramStart"/>
            <w:r>
              <w:rPr>
                <w:rFonts w:ascii="宋体" w:eastAsia="宋体" w:hAnsi="宋体" w:cs="宋体" w:hint="eastAsia"/>
                <w:sz w:val="24"/>
                <w:szCs w:val="24"/>
                <w:lang w:eastAsia="zh-CN"/>
              </w:rPr>
              <w:t>打造</w:t>
            </w:r>
            <w:proofErr w:type="gramEnd"/>
            <w:r>
              <w:rPr>
                <w:rFonts w:ascii="宋体" w:eastAsia="宋体" w:hAnsi="宋体" w:cs="宋体" w:hint="eastAsia"/>
                <w:sz w:val="24"/>
                <w:szCs w:val="24"/>
                <w:lang w:eastAsia="zh-CN"/>
              </w:rPr>
              <w:t>国投特色，</w:t>
            </w:r>
            <w:r>
              <w:rPr>
                <w:rFonts w:ascii="宋体" w:eastAsia="宋体" w:hAnsi="宋体" w:cs="宋体"/>
                <w:sz w:val="24"/>
                <w:szCs w:val="24"/>
                <w:lang w:eastAsia="zh-CN"/>
              </w:rPr>
              <w:t>做实做强国</w:t>
            </w:r>
            <w:proofErr w:type="gramStart"/>
            <w:r>
              <w:rPr>
                <w:rFonts w:ascii="宋体" w:eastAsia="宋体" w:hAnsi="宋体" w:cs="宋体"/>
                <w:sz w:val="24"/>
                <w:szCs w:val="24"/>
                <w:lang w:eastAsia="zh-CN"/>
              </w:rPr>
              <w:t>投产</w:t>
            </w:r>
            <w:proofErr w:type="gramEnd"/>
            <w:r>
              <w:rPr>
                <w:rFonts w:ascii="宋体" w:eastAsia="宋体" w:hAnsi="宋体" w:cs="宋体"/>
                <w:sz w:val="24"/>
                <w:szCs w:val="24"/>
                <w:lang w:eastAsia="zh-CN"/>
              </w:rPr>
              <w:t>业研究院，深化产业投行转型，全面推进企业家综合服务，落实“研投顾”财富管理转型。</w:t>
            </w:r>
            <w:proofErr w:type="gramStart"/>
            <w:r>
              <w:rPr>
                <w:rFonts w:ascii="宋体" w:eastAsia="宋体" w:hAnsi="宋体" w:cs="宋体" w:hint="eastAsia"/>
                <w:sz w:val="24"/>
                <w:szCs w:val="24"/>
                <w:lang w:eastAsia="zh-CN"/>
              </w:rPr>
              <w:t>国投泰康</w:t>
            </w:r>
            <w:proofErr w:type="gramEnd"/>
            <w:r>
              <w:rPr>
                <w:rFonts w:ascii="宋体" w:eastAsia="宋体" w:hAnsi="宋体" w:cs="宋体" w:hint="eastAsia"/>
                <w:sz w:val="24"/>
                <w:szCs w:val="24"/>
                <w:lang w:eastAsia="zh-CN"/>
              </w:rPr>
              <w:t>信托将以成为国内领先的资产管理与财富管理行业专家为目标，围绕“五篇大文章”，服务实体经济，发挥信托的功能性，打造家庭金融服务体系。</w:t>
            </w:r>
          </w:p>
          <w:p w:rsidR="002B30F7" w:rsidRDefault="00915EE6">
            <w:pPr>
              <w:spacing w:line="360" w:lineRule="auto"/>
              <w:jc w:val="both"/>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2、</w:t>
            </w:r>
            <w:r>
              <w:rPr>
                <w:rFonts w:ascii="宋体" w:eastAsia="宋体" w:hAnsi="宋体" w:cs="宋体"/>
                <w:b/>
                <w:sz w:val="24"/>
                <w:szCs w:val="24"/>
                <w:lang w:eastAsia="zh-CN"/>
              </w:rPr>
              <w:t xml:space="preserve">2023年10月30日，中央金融工作会议首次提及“培育一流投资银行和投资机构”。2023年11月3日，证监会表示“鼓励通过业务创新、集团化经营、并购重组方式打造一流投行”。2024年3月15日，证监会发布《关于加强证券公司和公募基金监管加快推进建设一流投资银行和投资机构的意见（试行）》，提出了建设一流投资银行的整体路线图。在国家政策的引导与支持下，2024年以来券商并购重组动态频出。公司如何看待及展望券商并购重组热潮？国投证券是否有并购重组的相关规划？ </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sz w:val="24"/>
                <w:szCs w:val="24"/>
                <w:lang w:eastAsia="zh-CN"/>
              </w:rPr>
              <w:t>中央金融工作会议之后，证监会出台了一系列鼓励券商并购的监管政策，今年</w:t>
            </w:r>
            <w:r>
              <w:rPr>
                <w:rFonts w:ascii="宋体" w:eastAsia="宋体" w:hAnsi="宋体" w:cs="宋体"/>
                <w:sz w:val="24"/>
                <w:szCs w:val="24"/>
                <w:lang w:eastAsia="zh-CN"/>
              </w:rPr>
              <w:t>3月，证监会发布《关于加强证券公司和公募基金监管加快推进建设一流投资银行和投资机构的意见（试行）》，明确提出力争通过5年左右时间，推动形成10家左右优质头部机构引领行业高质量发展，未来证券行业马太效应会更加显著，会加速行业供给侧改革，更好发挥为新质生产力融资、为耐心资本提供配置服务的中介功能，行业内并购重组的案例因此也开始增多，</w:t>
            </w:r>
            <w:proofErr w:type="gramStart"/>
            <w:r>
              <w:rPr>
                <w:rFonts w:ascii="宋体" w:eastAsia="宋体" w:hAnsi="宋体" w:cs="宋体"/>
                <w:sz w:val="24"/>
                <w:szCs w:val="24"/>
                <w:lang w:eastAsia="zh-CN"/>
              </w:rPr>
              <w:t>浙商与</w:t>
            </w:r>
            <w:proofErr w:type="gramEnd"/>
            <w:r>
              <w:rPr>
                <w:rFonts w:ascii="宋体" w:eastAsia="宋体" w:hAnsi="宋体" w:cs="宋体"/>
                <w:sz w:val="24"/>
                <w:szCs w:val="24"/>
                <w:lang w:eastAsia="zh-CN"/>
              </w:rPr>
              <w:t>民生、国君与海通等案例引发了市场的广泛</w:t>
            </w:r>
            <w:r>
              <w:rPr>
                <w:rFonts w:ascii="宋体" w:eastAsia="宋体" w:hAnsi="宋体" w:cs="宋体" w:hint="eastAsia"/>
                <w:sz w:val="24"/>
                <w:szCs w:val="24"/>
                <w:lang w:eastAsia="zh-CN"/>
              </w:rPr>
              <w:t>关注</w:t>
            </w:r>
            <w:r>
              <w:rPr>
                <w:rFonts w:ascii="宋体" w:eastAsia="宋体" w:hAnsi="宋体" w:cs="宋体"/>
                <w:sz w:val="24"/>
                <w:szCs w:val="24"/>
                <w:lang w:eastAsia="zh-CN"/>
              </w:rPr>
              <w:t>。</w:t>
            </w:r>
            <w:r>
              <w:rPr>
                <w:rFonts w:ascii="宋体" w:eastAsia="宋体" w:hAnsi="宋体" w:cs="宋体" w:hint="eastAsia"/>
                <w:sz w:val="24"/>
                <w:szCs w:val="24"/>
                <w:lang w:eastAsia="zh-CN"/>
              </w:rPr>
              <w:t>公司会对行业的并购重组动作保持关注，并将着力推动国投证券建设成为有核心竞争力、突出特色的</w:t>
            </w:r>
            <w:proofErr w:type="gramStart"/>
            <w:r>
              <w:rPr>
                <w:rFonts w:ascii="宋体" w:eastAsia="宋体" w:hAnsi="宋体" w:cs="宋体" w:hint="eastAsia"/>
                <w:sz w:val="24"/>
                <w:szCs w:val="24"/>
                <w:lang w:eastAsia="zh-CN"/>
              </w:rPr>
              <w:t>一流产业投</w:t>
            </w:r>
            <w:proofErr w:type="gramEnd"/>
            <w:r>
              <w:rPr>
                <w:rFonts w:ascii="宋体" w:eastAsia="宋体" w:hAnsi="宋体" w:cs="宋体" w:hint="eastAsia"/>
                <w:sz w:val="24"/>
                <w:szCs w:val="24"/>
                <w:lang w:eastAsia="zh-CN"/>
              </w:rPr>
              <w:t>行，提升证券业务的核心竞争力。</w:t>
            </w:r>
          </w:p>
          <w:p w:rsidR="002B30F7" w:rsidRDefault="00915EE6">
            <w:pPr>
              <w:spacing w:line="360" w:lineRule="auto"/>
              <w:jc w:val="both"/>
              <w:rPr>
                <w:rFonts w:ascii="宋体" w:eastAsia="宋体" w:hAnsi="宋体" w:cs="宋体"/>
                <w:b/>
                <w:sz w:val="24"/>
                <w:szCs w:val="24"/>
                <w:lang w:eastAsia="zh-CN"/>
              </w:rPr>
            </w:pPr>
            <w:r>
              <w:rPr>
                <w:rFonts w:ascii="宋体" w:eastAsia="宋体" w:hAnsi="宋体" w:cs="宋体" w:hint="eastAsia"/>
                <w:b/>
                <w:sz w:val="24"/>
                <w:szCs w:val="24"/>
                <w:lang w:eastAsia="zh-CN"/>
              </w:rPr>
              <w:t>3、近期，国投证券新设产业研究院，国</w:t>
            </w:r>
            <w:proofErr w:type="gramStart"/>
            <w:r>
              <w:rPr>
                <w:rFonts w:ascii="宋体" w:eastAsia="宋体" w:hAnsi="宋体" w:cs="宋体" w:hint="eastAsia"/>
                <w:b/>
                <w:sz w:val="24"/>
                <w:szCs w:val="24"/>
                <w:lang w:eastAsia="zh-CN"/>
              </w:rPr>
              <w:t>投产业</w:t>
            </w:r>
            <w:proofErr w:type="gramEnd"/>
            <w:r>
              <w:rPr>
                <w:rFonts w:ascii="宋体" w:eastAsia="宋体" w:hAnsi="宋体" w:cs="宋体" w:hint="eastAsia"/>
                <w:b/>
                <w:sz w:val="24"/>
                <w:szCs w:val="24"/>
                <w:lang w:eastAsia="zh-CN"/>
              </w:rPr>
              <w:t>研究院下设三个总部一级部门</w:t>
            </w:r>
            <w:r>
              <w:rPr>
                <w:rFonts w:ascii="宋体" w:eastAsia="宋体" w:hAnsi="宋体" w:cs="宋体"/>
                <w:b/>
                <w:sz w:val="24"/>
                <w:szCs w:val="24"/>
                <w:lang w:eastAsia="zh-CN"/>
              </w:rPr>
              <w:t>(产业研究所、证券研究所、机构销售部)。该组织架构调整主要出于何种</w:t>
            </w:r>
            <w:proofErr w:type="gramStart"/>
            <w:r>
              <w:rPr>
                <w:rFonts w:ascii="宋体" w:eastAsia="宋体" w:hAnsi="宋体" w:cs="宋体"/>
                <w:b/>
                <w:sz w:val="24"/>
                <w:szCs w:val="24"/>
                <w:lang w:eastAsia="zh-CN"/>
              </w:rPr>
              <w:t>考量</w:t>
            </w:r>
            <w:proofErr w:type="gramEnd"/>
            <w:r>
              <w:rPr>
                <w:rFonts w:ascii="宋体" w:eastAsia="宋体" w:hAnsi="宋体" w:cs="宋体"/>
                <w:b/>
                <w:sz w:val="24"/>
                <w:szCs w:val="24"/>
                <w:lang w:eastAsia="zh-CN"/>
              </w:rPr>
              <w:t>？相较于其他券商所设的产业研究院，国</w:t>
            </w:r>
            <w:proofErr w:type="gramStart"/>
            <w:r>
              <w:rPr>
                <w:rFonts w:ascii="宋体" w:eastAsia="宋体" w:hAnsi="宋体" w:cs="宋体"/>
                <w:b/>
                <w:sz w:val="24"/>
                <w:szCs w:val="24"/>
                <w:lang w:eastAsia="zh-CN"/>
              </w:rPr>
              <w:t>投产业</w:t>
            </w:r>
            <w:proofErr w:type="gramEnd"/>
            <w:r>
              <w:rPr>
                <w:rFonts w:ascii="宋体" w:eastAsia="宋体" w:hAnsi="宋体" w:cs="宋体"/>
                <w:b/>
                <w:sz w:val="24"/>
                <w:szCs w:val="24"/>
                <w:lang w:eastAsia="zh-CN"/>
              </w:rPr>
              <w:t>研究院有何独特优势？公司如何规划未来国</w:t>
            </w:r>
            <w:proofErr w:type="gramStart"/>
            <w:r>
              <w:rPr>
                <w:rFonts w:ascii="宋体" w:eastAsia="宋体" w:hAnsi="宋体" w:cs="宋体"/>
                <w:b/>
                <w:sz w:val="24"/>
                <w:szCs w:val="24"/>
                <w:lang w:eastAsia="zh-CN"/>
              </w:rPr>
              <w:t>投产业</w:t>
            </w:r>
            <w:proofErr w:type="gramEnd"/>
            <w:r>
              <w:rPr>
                <w:rFonts w:ascii="宋体" w:eastAsia="宋体" w:hAnsi="宋体" w:cs="宋体"/>
                <w:b/>
                <w:sz w:val="24"/>
                <w:szCs w:val="24"/>
                <w:lang w:eastAsia="zh-CN"/>
              </w:rPr>
              <w:t>研究院的角色定位及发展路径？</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国投证券研究构筑以证券市场研究、产业研究、智库研究为核心能力，以证券市场研究为基础、产业研究为特色的差异化竞争优势，三个总部一级部门也将具体分工、展业，各有侧重点。其中，以有效服务集团战略、实体产业和赋能公司业务发展，推动“投资、投行、投</w:t>
            </w:r>
            <w:proofErr w:type="gramStart"/>
            <w:r>
              <w:rPr>
                <w:rFonts w:ascii="宋体" w:eastAsia="宋体" w:hAnsi="宋体" w:cs="宋体" w:hint="eastAsia"/>
                <w:bCs/>
                <w:sz w:val="24"/>
                <w:szCs w:val="24"/>
                <w:lang w:eastAsia="zh-CN"/>
              </w:rPr>
              <w:t>研</w:t>
            </w:r>
            <w:proofErr w:type="gramEnd"/>
            <w:r>
              <w:rPr>
                <w:rFonts w:ascii="宋体" w:eastAsia="宋体" w:hAnsi="宋体" w:cs="宋体" w:hint="eastAsia"/>
                <w:bCs/>
                <w:sz w:val="24"/>
                <w:szCs w:val="24"/>
                <w:lang w:eastAsia="zh-CN"/>
              </w:rPr>
              <w:t>”联动为目标，设置产业研究所；以提升研究业务收入及市场占有率，打造有较强研究实力与市场影响力的卖方研究所为目标，设置证券研究所；以</w:t>
            </w:r>
            <w:r>
              <w:rPr>
                <w:rFonts w:ascii="宋体" w:eastAsia="宋体" w:hAnsi="宋体" w:cs="宋体"/>
                <w:bCs/>
                <w:sz w:val="24"/>
                <w:szCs w:val="24"/>
                <w:lang w:eastAsia="zh-CN"/>
              </w:rPr>
              <w:t>向</w:t>
            </w:r>
            <w:r>
              <w:rPr>
                <w:rFonts w:ascii="宋体" w:eastAsia="宋体" w:hAnsi="宋体" w:cs="宋体" w:hint="eastAsia"/>
                <w:bCs/>
                <w:sz w:val="24"/>
                <w:szCs w:val="24"/>
                <w:lang w:eastAsia="zh-CN"/>
              </w:rPr>
              <w:t>公募、保险、社保、银行、银行理财子、私募、券商、</w:t>
            </w:r>
            <w:r>
              <w:rPr>
                <w:rFonts w:ascii="宋体" w:eastAsia="宋体" w:hAnsi="宋体" w:cs="宋体"/>
                <w:bCs/>
                <w:sz w:val="24"/>
                <w:szCs w:val="24"/>
                <w:lang w:eastAsia="zh-CN"/>
              </w:rPr>
              <w:t>QFII、产业基金和企业等机构客户提供全方位的综合研究销售服务，提升研究业务影响力和客户认可度为</w:t>
            </w:r>
            <w:r>
              <w:rPr>
                <w:rFonts w:ascii="宋体" w:eastAsia="宋体" w:hAnsi="宋体" w:cs="宋体" w:hint="eastAsia"/>
                <w:bCs/>
                <w:sz w:val="24"/>
                <w:szCs w:val="24"/>
                <w:lang w:eastAsia="zh-CN"/>
              </w:rPr>
              <w:t>目标，设置机构销售部。三个总部部门将相互协作，全面优化提升资本市场研究硬实力和综合服务能力</w:t>
            </w:r>
            <w:r>
              <w:rPr>
                <w:rFonts w:ascii="宋体" w:eastAsia="宋体" w:hAnsi="宋体" w:cs="宋体"/>
                <w:bCs/>
                <w:sz w:val="24"/>
                <w:szCs w:val="24"/>
                <w:lang w:eastAsia="zh-CN"/>
              </w:rPr>
              <w:t>。</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与其他券商所设的产业研究院相比，国</w:t>
            </w:r>
            <w:proofErr w:type="gramStart"/>
            <w:r>
              <w:rPr>
                <w:rFonts w:ascii="宋体" w:eastAsia="宋体" w:hAnsi="宋体" w:cs="宋体" w:hint="eastAsia"/>
                <w:bCs/>
                <w:sz w:val="24"/>
                <w:szCs w:val="24"/>
                <w:lang w:eastAsia="zh-CN"/>
              </w:rPr>
              <w:t>投产业</w:t>
            </w:r>
            <w:proofErr w:type="gramEnd"/>
            <w:r>
              <w:rPr>
                <w:rFonts w:ascii="宋体" w:eastAsia="宋体" w:hAnsi="宋体" w:cs="宋体" w:hint="eastAsia"/>
                <w:bCs/>
                <w:sz w:val="24"/>
                <w:szCs w:val="24"/>
                <w:lang w:eastAsia="zh-CN"/>
              </w:rPr>
              <w:t>研究院具有一定的独特优势。一是</w:t>
            </w:r>
            <w:r>
              <w:rPr>
                <w:rFonts w:ascii="宋体" w:eastAsia="宋体" w:hAnsi="宋体" w:cs="宋体"/>
                <w:bCs/>
                <w:sz w:val="24"/>
                <w:szCs w:val="24"/>
                <w:lang w:eastAsia="zh-CN"/>
              </w:rPr>
              <w:t>股东方国投集团旗下控股的产业基金管理规模巨大，投资的项目众多，投资的重点方向与产业研究院的配置高度重合，能更好</w:t>
            </w:r>
            <w:r>
              <w:rPr>
                <w:rFonts w:ascii="宋体" w:eastAsia="宋体" w:hAnsi="宋体" w:cs="宋体" w:hint="eastAsia"/>
                <w:bCs/>
                <w:sz w:val="24"/>
                <w:szCs w:val="24"/>
                <w:lang w:eastAsia="zh-CN"/>
              </w:rPr>
              <w:t>地</w:t>
            </w:r>
            <w:r>
              <w:rPr>
                <w:rFonts w:ascii="宋体" w:eastAsia="宋体" w:hAnsi="宋体" w:cs="宋体"/>
                <w:bCs/>
                <w:sz w:val="24"/>
                <w:szCs w:val="24"/>
                <w:lang w:eastAsia="zh-CN"/>
              </w:rPr>
              <w:t>实现一二级联动。</w:t>
            </w:r>
            <w:r>
              <w:rPr>
                <w:rFonts w:ascii="宋体" w:eastAsia="宋体" w:hAnsi="宋体" w:cs="宋体" w:hint="eastAsia"/>
                <w:bCs/>
                <w:sz w:val="24"/>
                <w:szCs w:val="24"/>
                <w:lang w:eastAsia="zh-CN"/>
              </w:rPr>
              <w:t>二是</w:t>
            </w:r>
            <w:r>
              <w:rPr>
                <w:rFonts w:ascii="宋体" w:eastAsia="宋体" w:hAnsi="宋体" w:cs="宋体"/>
                <w:bCs/>
                <w:sz w:val="24"/>
                <w:szCs w:val="24"/>
                <w:lang w:eastAsia="zh-CN"/>
              </w:rPr>
              <w:t>国</w:t>
            </w:r>
            <w:proofErr w:type="gramStart"/>
            <w:r>
              <w:rPr>
                <w:rFonts w:ascii="宋体" w:eastAsia="宋体" w:hAnsi="宋体" w:cs="宋体"/>
                <w:bCs/>
                <w:sz w:val="24"/>
                <w:szCs w:val="24"/>
                <w:lang w:eastAsia="zh-CN"/>
              </w:rPr>
              <w:t>投产业</w:t>
            </w:r>
            <w:proofErr w:type="gramEnd"/>
            <w:r>
              <w:rPr>
                <w:rFonts w:ascii="宋体" w:eastAsia="宋体" w:hAnsi="宋体" w:cs="宋体"/>
                <w:bCs/>
                <w:sz w:val="24"/>
                <w:szCs w:val="24"/>
                <w:lang w:eastAsia="zh-CN"/>
              </w:rPr>
              <w:t>研究院聚焦新质生产力与集团主责主业，建</w:t>
            </w:r>
            <w:r>
              <w:rPr>
                <w:rFonts w:ascii="宋体" w:eastAsia="宋体" w:hAnsi="宋体" w:cs="宋体" w:hint="eastAsia"/>
                <w:bCs/>
                <w:sz w:val="24"/>
                <w:szCs w:val="24"/>
                <w:lang w:eastAsia="zh-CN"/>
              </w:rPr>
              <w:t>设</w:t>
            </w:r>
            <w:r>
              <w:rPr>
                <w:rFonts w:ascii="宋体" w:eastAsia="宋体" w:hAnsi="宋体" w:cs="宋体"/>
                <w:bCs/>
                <w:sz w:val="24"/>
                <w:szCs w:val="24"/>
                <w:lang w:eastAsia="zh-CN"/>
              </w:rPr>
              <w:t>“小而精、小而专”的产业研究队伍，与其他券商所设的产业研究院相比，在人员设置、资源投入方面更加聚焦。</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国</w:t>
            </w:r>
            <w:proofErr w:type="gramStart"/>
            <w:r>
              <w:rPr>
                <w:rFonts w:ascii="宋体" w:eastAsia="宋体" w:hAnsi="宋体" w:cs="宋体" w:hint="eastAsia"/>
                <w:bCs/>
                <w:sz w:val="24"/>
                <w:szCs w:val="24"/>
                <w:lang w:eastAsia="zh-CN"/>
              </w:rPr>
              <w:t>投产业</w:t>
            </w:r>
            <w:proofErr w:type="gramEnd"/>
            <w:r>
              <w:rPr>
                <w:rFonts w:ascii="宋体" w:eastAsia="宋体" w:hAnsi="宋体" w:cs="宋体" w:hint="eastAsia"/>
                <w:bCs/>
                <w:sz w:val="24"/>
                <w:szCs w:val="24"/>
                <w:lang w:eastAsia="zh-CN"/>
              </w:rPr>
              <w:t>研究院的设立是对于国家对金融新定位、集团对金融板块新要求以及新的市场环境背景的考虑，明确产业金融定位，构建特色化、差异化，实现“产融结合、以融助产”。国</w:t>
            </w:r>
            <w:proofErr w:type="gramStart"/>
            <w:r>
              <w:rPr>
                <w:rFonts w:ascii="宋体" w:eastAsia="宋体" w:hAnsi="宋体" w:cs="宋体" w:hint="eastAsia"/>
                <w:bCs/>
                <w:sz w:val="24"/>
                <w:szCs w:val="24"/>
                <w:lang w:eastAsia="zh-CN"/>
              </w:rPr>
              <w:t>投产业</w:t>
            </w:r>
            <w:proofErr w:type="gramEnd"/>
            <w:r>
              <w:rPr>
                <w:rFonts w:ascii="宋体" w:eastAsia="宋体" w:hAnsi="宋体" w:cs="宋体" w:hint="eastAsia"/>
                <w:bCs/>
                <w:sz w:val="24"/>
                <w:szCs w:val="24"/>
                <w:lang w:eastAsia="zh-CN"/>
              </w:rPr>
              <w:t>研究院紧扣产业金融基调和建设</w:t>
            </w:r>
            <w:proofErr w:type="gramStart"/>
            <w:r>
              <w:rPr>
                <w:rFonts w:ascii="宋体" w:eastAsia="宋体" w:hAnsi="宋体" w:cs="宋体" w:hint="eastAsia"/>
                <w:bCs/>
                <w:sz w:val="24"/>
                <w:szCs w:val="24"/>
                <w:lang w:eastAsia="zh-CN"/>
              </w:rPr>
              <w:t>一流产业</w:t>
            </w:r>
            <w:proofErr w:type="gramEnd"/>
            <w:r>
              <w:rPr>
                <w:rFonts w:ascii="宋体" w:eastAsia="宋体" w:hAnsi="宋体" w:cs="宋体" w:hint="eastAsia"/>
                <w:bCs/>
                <w:sz w:val="24"/>
                <w:szCs w:val="24"/>
                <w:lang w:eastAsia="zh-CN"/>
              </w:rPr>
              <w:t>投行的总目标，打造以证券市场研究为基础、产业研究为特色优势的差异化竞争能力。</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在公司加快整体业务转型的大背景下，国</w:t>
            </w:r>
            <w:proofErr w:type="gramStart"/>
            <w:r>
              <w:rPr>
                <w:rFonts w:ascii="宋体" w:eastAsia="宋体" w:hAnsi="宋体" w:cs="宋体" w:hint="eastAsia"/>
                <w:bCs/>
                <w:sz w:val="24"/>
                <w:szCs w:val="24"/>
                <w:lang w:eastAsia="zh-CN"/>
              </w:rPr>
              <w:t>投产业</w:t>
            </w:r>
            <w:proofErr w:type="gramEnd"/>
            <w:r>
              <w:rPr>
                <w:rFonts w:ascii="宋体" w:eastAsia="宋体" w:hAnsi="宋体" w:cs="宋体" w:hint="eastAsia"/>
                <w:bCs/>
                <w:sz w:val="24"/>
                <w:szCs w:val="24"/>
                <w:lang w:eastAsia="zh-CN"/>
              </w:rPr>
              <w:t>研究院一方面将坚持市场化导向，持续提升对外研究服务能力和市场影响力，不断完善对内赋能和协同的机制；另一方面会主动拓展能力边界，通过产业研究与金融研究结合，为政府机构、集团、战略核心客户、产业客户提供专业服务，实现品牌价值与业务价值最大化。</w:t>
            </w:r>
          </w:p>
          <w:p w:rsidR="002B30F7" w:rsidRDefault="00915EE6">
            <w:pPr>
              <w:spacing w:line="360" w:lineRule="auto"/>
              <w:jc w:val="both"/>
              <w:rPr>
                <w:rFonts w:ascii="宋体" w:eastAsia="宋体" w:hAnsi="宋体" w:cs="宋体"/>
                <w:b/>
                <w:sz w:val="24"/>
                <w:szCs w:val="24"/>
                <w:lang w:eastAsia="zh-CN"/>
              </w:rPr>
            </w:pPr>
            <w:r>
              <w:rPr>
                <w:rFonts w:ascii="宋体" w:eastAsia="宋体" w:hAnsi="宋体" w:cs="宋体" w:hint="eastAsia"/>
                <w:b/>
                <w:sz w:val="24"/>
                <w:szCs w:val="24"/>
                <w:lang w:eastAsia="zh-CN"/>
              </w:rPr>
              <w:t>4、</w:t>
            </w:r>
            <w:r>
              <w:rPr>
                <w:rFonts w:ascii="宋体" w:eastAsia="宋体" w:hAnsi="宋体" w:cs="宋体"/>
                <w:b/>
                <w:sz w:val="24"/>
                <w:szCs w:val="24"/>
                <w:lang w:eastAsia="zh-CN"/>
              </w:rPr>
              <w:t>2024年11月1日，国投证券获批跨境理财通业务试点资格，成为首批获得该业务试点资格的14家证券公司之一。国投证券在相应的产品体系、销售渠道等方面有何布局和进展？如何借助获</w:t>
            </w:r>
            <w:proofErr w:type="gramStart"/>
            <w:r>
              <w:rPr>
                <w:rFonts w:ascii="宋体" w:eastAsia="宋体" w:hAnsi="宋体" w:cs="宋体"/>
                <w:b/>
                <w:sz w:val="24"/>
                <w:szCs w:val="24"/>
                <w:lang w:eastAsia="zh-CN"/>
              </w:rPr>
              <w:t>批试点</w:t>
            </w:r>
            <w:proofErr w:type="gramEnd"/>
            <w:r>
              <w:rPr>
                <w:rFonts w:ascii="宋体" w:eastAsia="宋体" w:hAnsi="宋体" w:cs="宋体"/>
                <w:b/>
                <w:sz w:val="24"/>
                <w:szCs w:val="24"/>
                <w:lang w:eastAsia="zh-CN"/>
              </w:rPr>
              <w:t>机遇，更好推动财富管理业务发展？</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在确定申请资格及获</w:t>
            </w:r>
            <w:proofErr w:type="gramStart"/>
            <w:r>
              <w:rPr>
                <w:rFonts w:ascii="宋体" w:eastAsia="宋体" w:hAnsi="宋体" w:cs="宋体" w:hint="eastAsia"/>
                <w:bCs/>
                <w:sz w:val="24"/>
                <w:szCs w:val="24"/>
                <w:lang w:eastAsia="zh-CN"/>
              </w:rPr>
              <w:t>批试点</w:t>
            </w:r>
            <w:proofErr w:type="gramEnd"/>
            <w:r>
              <w:rPr>
                <w:rFonts w:ascii="宋体" w:eastAsia="宋体" w:hAnsi="宋体" w:cs="宋体" w:hint="eastAsia"/>
                <w:bCs/>
                <w:sz w:val="24"/>
                <w:szCs w:val="24"/>
                <w:lang w:eastAsia="zh-CN"/>
              </w:rPr>
              <w:t>资格阶段，国投证券与</w:t>
            </w:r>
            <w:proofErr w:type="gramStart"/>
            <w:r>
              <w:rPr>
                <w:rFonts w:ascii="宋体" w:eastAsia="宋体" w:hAnsi="宋体" w:cs="宋体" w:hint="eastAsia"/>
                <w:bCs/>
                <w:sz w:val="24"/>
                <w:szCs w:val="24"/>
                <w:lang w:eastAsia="zh-CN"/>
              </w:rPr>
              <w:t>国证国</w:t>
            </w:r>
            <w:proofErr w:type="gramEnd"/>
            <w:r>
              <w:rPr>
                <w:rFonts w:ascii="宋体" w:eastAsia="宋体" w:hAnsi="宋体" w:cs="宋体" w:hint="eastAsia"/>
                <w:bCs/>
                <w:sz w:val="24"/>
                <w:szCs w:val="24"/>
                <w:lang w:eastAsia="zh-CN"/>
              </w:rPr>
              <w:t>际联合在南向</w:t>
            </w:r>
            <w:proofErr w:type="gramStart"/>
            <w:r>
              <w:rPr>
                <w:rFonts w:ascii="宋体" w:eastAsia="宋体" w:hAnsi="宋体" w:cs="宋体" w:hint="eastAsia"/>
                <w:bCs/>
                <w:sz w:val="24"/>
                <w:szCs w:val="24"/>
                <w:lang w:eastAsia="zh-CN"/>
              </w:rPr>
              <w:t>通产</w:t>
            </w:r>
            <w:proofErr w:type="gramEnd"/>
            <w:r>
              <w:rPr>
                <w:rFonts w:ascii="宋体" w:eastAsia="宋体" w:hAnsi="宋体" w:cs="宋体" w:hint="eastAsia"/>
                <w:bCs/>
                <w:sz w:val="24"/>
                <w:szCs w:val="24"/>
                <w:lang w:eastAsia="zh-CN"/>
              </w:rPr>
              <w:t>品储备方面快速行动，与多家</w:t>
            </w:r>
            <w:proofErr w:type="gramStart"/>
            <w:r>
              <w:rPr>
                <w:rFonts w:ascii="宋体" w:eastAsia="宋体" w:hAnsi="宋体" w:cs="宋体" w:hint="eastAsia"/>
                <w:bCs/>
                <w:sz w:val="24"/>
                <w:szCs w:val="24"/>
                <w:lang w:eastAsia="zh-CN"/>
              </w:rPr>
              <w:t>香港资管机</w:t>
            </w:r>
            <w:proofErr w:type="gramEnd"/>
            <w:r>
              <w:rPr>
                <w:rFonts w:ascii="宋体" w:eastAsia="宋体" w:hAnsi="宋体" w:cs="宋体" w:hint="eastAsia"/>
                <w:bCs/>
                <w:sz w:val="24"/>
                <w:szCs w:val="24"/>
                <w:lang w:eastAsia="zh-CN"/>
              </w:rPr>
              <w:t>构建立代销合作，上线了</w:t>
            </w:r>
            <w:proofErr w:type="gramStart"/>
            <w:r>
              <w:rPr>
                <w:rFonts w:ascii="宋体" w:eastAsia="宋体" w:hAnsi="宋体" w:cs="宋体" w:hint="eastAsia"/>
                <w:bCs/>
                <w:sz w:val="24"/>
                <w:szCs w:val="24"/>
                <w:lang w:eastAsia="zh-CN"/>
              </w:rPr>
              <w:t>含货</w:t>
            </w:r>
            <w:proofErr w:type="gramEnd"/>
            <w:r>
              <w:rPr>
                <w:rFonts w:ascii="宋体" w:eastAsia="宋体" w:hAnsi="宋体" w:cs="宋体" w:hint="eastAsia"/>
                <w:bCs/>
                <w:sz w:val="24"/>
                <w:szCs w:val="24"/>
                <w:lang w:eastAsia="zh-CN"/>
              </w:rPr>
              <w:t>币基金债券基金、权益基金等多个资产及策略类别的</w:t>
            </w:r>
            <w:r>
              <w:rPr>
                <w:rFonts w:ascii="宋体" w:eastAsia="宋体" w:hAnsi="宋体" w:cs="宋体"/>
                <w:bCs/>
                <w:sz w:val="24"/>
                <w:szCs w:val="24"/>
                <w:lang w:eastAsia="zh-CN"/>
              </w:rPr>
              <w:t>50余只产品，基本</w:t>
            </w:r>
            <w:r>
              <w:rPr>
                <w:rFonts w:ascii="宋体" w:eastAsia="宋体" w:hAnsi="宋体" w:cs="宋体" w:hint="eastAsia"/>
                <w:bCs/>
                <w:sz w:val="24"/>
                <w:szCs w:val="24"/>
                <w:lang w:eastAsia="zh-CN"/>
              </w:rPr>
              <w:t>实现</w:t>
            </w:r>
            <w:r>
              <w:rPr>
                <w:rFonts w:ascii="宋体" w:eastAsia="宋体" w:hAnsi="宋体" w:cs="宋体"/>
                <w:bCs/>
                <w:sz w:val="24"/>
                <w:szCs w:val="24"/>
                <w:lang w:eastAsia="zh-CN"/>
              </w:rPr>
              <w:t>全方位满足客户跨境投资的产品需求。</w:t>
            </w:r>
            <w:r>
              <w:rPr>
                <w:rFonts w:ascii="宋体" w:eastAsia="宋体" w:hAnsi="宋体" w:cs="宋体" w:hint="eastAsia"/>
                <w:bCs/>
                <w:sz w:val="24"/>
                <w:szCs w:val="24"/>
                <w:lang w:eastAsia="zh-CN"/>
              </w:rPr>
              <w:t>取得试点资格后，国投证券通过手机</w:t>
            </w:r>
            <w:r>
              <w:rPr>
                <w:rFonts w:ascii="宋体" w:eastAsia="宋体" w:hAnsi="宋体" w:cs="宋体"/>
                <w:bCs/>
                <w:sz w:val="24"/>
                <w:szCs w:val="24"/>
                <w:lang w:eastAsia="zh-CN"/>
              </w:rPr>
              <w:t>APP和公众号</w:t>
            </w:r>
            <w:r>
              <w:rPr>
                <w:rFonts w:ascii="宋体" w:eastAsia="宋体" w:hAnsi="宋体" w:cs="宋体" w:hint="eastAsia"/>
                <w:bCs/>
                <w:sz w:val="24"/>
                <w:szCs w:val="24"/>
                <w:lang w:eastAsia="zh-CN"/>
              </w:rPr>
              <w:t>等平台</w:t>
            </w:r>
            <w:r>
              <w:rPr>
                <w:rFonts w:ascii="宋体" w:eastAsia="宋体" w:hAnsi="宋体" w:cs="宋体"/>
                <w:bCs/>
                <w:sz w:val="24"/>
                <w:szCs w:val="24"/>
                <w:lang w:eastAsia="zh-CN"/>
              </w:rPr>
              <w:t>开展了针对跨境理财通的各类宣传，并提供线上预约开户功能，提前锁定意向客户；线下联合国</w:t>
            </w:r>
            <w:proofErr w:type="gramStart"/>
            <w:r>
              <w:rPr>
                <w:rFonts w:ascii="宋体" w:eastAsia="宋体" w:hAnsi="宋体" w:cs="宋体"/>
                <w:bCs/>
                <w:sz w:val="24"/>
                <w:szCs w:val="24"/>
                <w:lang w:eastAsia="zh-CN"/>
              </w:rPr>
              <w:t>证国际</w:t>
            </w:r>
            <w:proofErr w:type="gramEnd"/>
            <w:r>
              <w:rPr>
                <w:rFonts w:ascii="宋体" w:eastAsia="宋体" w:hAnsi="宋体" w:cs="宋体"/>
                <w:bCs/>
                <w:sz w:val="24"/>
                <w:szCs w:val="24"/>
                <w:lang w:eastAsia="zh-CN"/>
              </w:rPr>
              <w:t>与重点合作</w:t>
            </w:r>
            <w:proofErr w:type="gramStart"/>
            <w:r>
              <w:rPr>
                <w:rFonts w:ascii="宋体" w:eastAsia="宋体" w:hAnsi="宋体" w:cs="宋体"/>
                <w:bCs/>
                <w:sz w:val="24"/>
                <w:szCs w:val="24"/>
                <w:lang w:eastAsia="zh-CN"/>
              </w:rPr>
              <w:t>的资管机</w:t>
            </w:r>
            <w:proofErr w:type="gramEnd"/>
            <w:r>
              <w:rPr>
                <w:rFonts w:ascii="宋体" w:eastAsia="宋体" w:hAnsi="宋体" w:cs="宋体"/>
                <w:bCs/>
                <w:sz w:val="24"/>
                <w:szCs w:val="24"/>
                <w:lang w:eastAsia="zh-CN"/>
              </w:rPr>
              <w:t>构对分支</w:t>
            </w:r>
            <w:r>
              <w:rPr>
                <w:rFonts w:ascii="宋体" w:eastAsia="宋体" w:hAnsi="宋体" w:cs="宋体" w:hint="eastAsia"/>
                <w:bCs/>
                <w:sz w:val="24"/>
                <w:szCs w:val="24"/>
                <w:lang w:eastAsia="zh-CN"/>
              </w:rPr>
              <w:t>加强</w:t>
            </w:r>
            <w:r>
              <w:rPr>
                <w:rFonts w:ascii="宋体" w:eastAsia="宋体" w:hAnsi="宋体" w:cs="宋体"/>
                <w:bCs/>
                <w:sz w:val="24"/>
                <w:szCs w:val="24"/>
                <w:lang w:eastAsia="zh-CN"/>
              </w:rPr>
              <w:t>培训交流，</w:t>
            </w:r>
            <w:r>
              <w:rPr>
                <w:rFonts w:ascii="宋体" w:eastAsia="宋体" w:hAnsi="宋体" w:cs="宋体" w:hint="eastAsia"/>
                <w:bCs/>
                <w:sz w:val="24"/>
                <w:szCs w:val="24"/>
                <w:lang w:eastAsia="zh-CN"/>
              </w:rPr>
              <w:t>推动</w:t>
            </w:r>
            <w:r>
              <w:rPr>
                <w:rFonts w:ascii="宋体" w:eastAsia="宋体" w:hAnsi="宋体" w:cs="宋体"/>
                <w:bCs/>
                <w:sz w:val="24"/>
                <w:szCs w:val="24"/>
                <w:lang w:eastAsia="zh-CN"/>
              </w:rPr>
              <w:t>分支机构充分了解业务</w:t>
            </w:r>
            <w:r>
              <w:rPr>
                <w:rFonts w:ascii="宋体" w:eastAsia="宋体" w:hAnsi="宋体" w:cs="宋体" w:hint="eastAsia"/>
                <w:bCs/>
                <w:sz w:val="24"/>
                <w:szCs w:val="24"/>
                <w:lang w:eastAsia="zh-CN"/>
              </w:rPr>
              <w:t>，通过</w:t>
            </w:r>
            <w:proofErr w:type="gramStart"/>
            <w:r>
              <w:rPr>
                <w:rFonts w:ascii="宋体" w:eastAsia="宋体" w:hAnsi="宋体" w:cs="宋体"/>
                <w:bCs/>
                <w:sz w:val="24"/>
                <w:szCs w:val="24"/>
                <w:lang w:eastAsia="zh-CN"/>
              </w:rPr>
              <w:t>投教方</w:t>
            </w:r>
            <w:proofErr w:type="gramEnd"/>
            <w:r>
              <w:rPr>
                <w:rFonts w:ascii="宋体" w:eastAsia="宋体" w:hAnsi="宋体" w:cs="宋体"/>
                <w:bCs/>
                <w:sz w:val="24"/>
                <w:szCs w:val="24"/>
                <w:lang w:eastAsia="zh-CN"/>
              </w:rPr>
              <w:t>式提前</w:t>
            </w:r>
            <w:r>
              <w:rPr>
                <w:rFonts w:ascii="宋体" w:eastAsia="宋体" w:hAnsi="宋体" w:cs="宋体" w:hint="eastAsia"/>
                <w:bCs/>
                <w:sz w:val="24"/>
                <w:szCs w:val="24"/>
                <w:lang w:eastAsia="zh-CN"/>
              </w:rPr>
              <w:t>触及</w:t>
            </w:r>
            <w:r>
              <w:rPr>
                <w:rFonts w:ascii="宋体" w:eastAsia="宋体" w:hAnsi="宋体" w:cs="宋体"/>
                <w:bCs/>
                <w:sz w:val="24"/>
                <w:szCs w:val="24"/>
                <w:lang w:eastAsia="zh-CN"/>
              </w:rPr>
              <w:t>目标客户；国投证券上线了跨境理财通业务知识必修课程，要求符合条件展业的分支员工必须通过相应考试；对公司总部</w:t>
            </w:r>
            <w:r>
              <w:rPr>
                <w:rFonts w:ascii="宋体" w:eastAsia="宋体" w:hAnsi="宋体" w:cs="宋体" w:hint="eastAsia"/>
                <w:bCs/>
                <w:sz w:val="24"/>
                <w:szCs w:val="24"/>
                <w:lang w:eastAsia="zh-CN"/>
              </w:rPr>
              <w:t>各部门</w:t>
            </w:r>
            <w:r>
              <w:rPr>
                <w:rFonts w:ascii="宋体" w:eastAsia="宋体" w:hAnsi="宋体" w:cs="宋体"/>
                <w:bCs/>
                <w:sz w:val="24"/>
                <w:szCs w:val="24"/>
                <w:lang w:eastAsia="zh-CN"/>
              </w:rPr>
              <w:t>员工组织了专门培训，提前做好开户准备。</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国投证券获批跨境理财通业务试点资格将进一步提升自身产品竞争力和客户服务能力，更好满足高净值客户全球配置需求；北向通渠道的开放也有利于国投证券借助本轮</w:t>
            </w:r>
            <w:r>
              <w:rPr>
                <w:rFonts w:ascii="宋体" w:eastAsia="宋体" w:hAnsi="宋体" w:cs="宋体"/>
                <w:bCs/>
                <w:sz w:val="24"/>
                <w:szCs w:val="24"/>
                <w:lang w:eastAsia="zh-CN"/>
              </w:rPr>
              <w:t>A股市场</w:t>
            </w:r>
            <w:r>
              <w:rPr>
                <w:rFonts w:ascii="宋体" w:eastAsia="宋体" w:hAnsi="宋体" w:cs="宋体" w:hint="eastAsia"/>
                <w:bCs/>
                <w:sz w:val="24"/>
                <w:szCs w:val="24"/>
                <w:lang w:eastAsia="zh-CN"/>
              </w:rPr>
              <w:t>投资</w:t>
            </w:r>
            <w:r>
              <w:rPr>
                <w:rFonts w:ascii="宋体" w:eastAsia="宋体" w:hAnsi="宋体" w:cs="宋体"/>
                <w:bCs/>
                <w:sz w:val="24"/>
                <w:szCs w:val="24"/>
                <w:lang w:eastAsia="zh-CN"/>
              </w:rPr>
              <w:t>机会，积极拓展和服务境外客户，</w:t>
            </w:r>
            <w:r>
              <w:rPr>
                <w:rFonts w:ascii="宋体" w:eastAsia="宋体" w:hAnsi="宋体" w:cs="宋体" w:hint="eastAsia"/>
                <w:bCs/>
                <w:sz w:val="24"/>
                <w:szCs w:val="24"/>
                <w:lang w:eastAsia="zh-CN"/>
              </w:rPr>
              <w:t>推动财富管理业务</w:t>
            </w:r>
            <w:r>
              <w:rPr>
                <w:rFonts w:ascii="宋体" w:eastAsia="宋体" w:hAnsi="宋体" w:cs="宋体"/>
                <w:bCs/>
                <w:sz w:val="24"/>
                <w:szCs w:val="24"/>
                <w:lang w:eastAsia="zh-CN"/>
              </w:rPr>
              <w:t>进一步融入国际化竞争环境。</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国投证券高度重视跨境理财通业务，在业务开放初期，以多元资产配置服务为出发点，重点聚焦拓展大湾区高净值客户群体，并积极探索和开发境外符合条件的客户，一是</w:t>
            </w:r>
            <w:r>
              <w:rPr>
                <w:rFonts w:ascii="宋体" w:eastAsia="宋体" w:hAnsi="宋体" w:cs="宋体"/>
                <w:bCs/>
                <w:sz w:val="24"/>
                <w:szCs w:val="24"/>
                <w:lang w:eastAsia="zh-CN"/>
              </w:rPr>
              <w:t>制定</w:t>
            </w:r>
            <w:r>
              <w:rPr>
                <w:rFonts w:ascii="宋体" w:eastAsia="宋体" w:hAnsi="宋体" w:cs="宋体" w:hint="eastAsia"/>
                <w:bCs/>
                <w:sz w:val="24"/>
                <w:szCs w:val="24"/>
                <w:lang w:eastAsia="zh-CN"/>
              </w:rPr>
              <w:t>业务开发</w:t>
            </w:r>
            <w:r>
              <w:rPr>
                <w:rFonts w:ascii="宋体" w:eastAsia="宋体" w:hAnsi="宋体" w:cs="宋体"/>
                <w:bCs/>
                <w:sz w:val="24"/>
                <w:szCs w:val="24"/>
                <w:lang w:eastAsia="zh-CN"/>
              </w:rPr>
              <w:t>目标，</w:t>
            </w:r>
            <w:r>
              <w:rPr>
                <w:rFonts w:ascii="宋体" w:eastAsia="宋体" w:hAnsi="宋体" w:cs="宋体" w:hint="eastAsia"/>
                <w:bCs/>
                <w:sz w:val="24"/>
                <w:szCs w:val="24"/>
                <w:lang w:eastAsia="zh-CN"/>
              </w:rPr>
              <w:t>完善</w:t>
            </w:r>
            <w:r>
              <w:rPr>
                <w:rFonts w:ascii="宋体" w:eastAsia="宋体" w:hAnsi="宋体" w:cs="宋体"/>
                <w:bCs/>
                <w:sz w:val="24"/>
                <w:szCs w:val="24"/>
                <w:lang w:eastAsia="zh-CN"/>
              </w:rPr>
              <w:t>跨境理财通业务</w:t>
            </w:r>
            <w:r>
              <w:rPr>
                <w:rFonts w:ascii="宋体" w:eastAsia="宋体" w:hAnsi="宋体" w:cs="宋体" w:hint="eastAsia"/>
                <w:bCs/>
                <w:sz w:val="24"/>
                <w:szCs w:val="24"/>
                <w:lang w:eastAsia="zh-CN"/>
              </w:rPr>
              <w:t>考核激励机制，充分</w:t>
            </w:r>
            <w:r>
              <w:rPr>
                <w:rFonts w:ascii="宋体" w:eastAsia="宋体" w:hAnsi="宋体" w:cs="宋体"/>
                <w:bCs/>
                <w:sz w:val="24"/>
                <w:szCs w:val="24"/>
                <w:lang w:eastAsia="zh-CN"/>
              </w:rPr>
              <w:t>调动一线</w:t>
            </w:r>
            <w:r>
              <w:rPr>
                <w:rFonts w:ascii="宋体" w:eastAsia="宋体" w:hAnsi="宋体" w:cs="宋体" w:hint="eastAsia"/>
                <w:bCs/>
                <w:sz w:val="24"/>
                <w:szCs w:val="24"/>
                <w:lang w:eastAsia="zh-CN"/>
              </w:rPr>
              <w:t>业务</w:t>
            </w:r>
            <w:r>
              <w:rPr>
                <w:rFonts w:ascii="宋体" w:eastAsia="宋体" w:hAnsi="宋体" w:cs="宋体"/>
                <w:bCs/>
                <w:sz w:val="24"/>
                <w:szCs w:val="24"/>
                <w:lang w:eastAsia="zh-CN"/>
              </w:rPr>
              <w:t>团队</w:t>
            </w:r>
            <w:r>
              <w:rPr>
                <w:rFonts w:ascii="宋体" w:eastAsia="宋体" w:hAnsi="宋体" w:cs="宋体" w:hint="eastAsia"/>
                <w:bCs/>
                <w:sz w:val="24"/>
                <w:szCs w:val="24"/>
                <w:lang w:eastAsia="zh-CN"/>
              </w:rPr>
              <w:t>主观能动</w:t>
            </w:r>
            <w:r>
              <w:rPr>
                <w:rFonts w:ascii="宋体" w:eastAsia="宋体" w:hAnsi="宋体" w:cs="宋体"/>
                <w:bCs/>
                <w:sz w:val="24"/>
                <w:szCs w:val="24"/>
                <w:lang w:eastAsia="zh-CN"/>
              </w:rPr>
              <w:t>性</w:t>
            </w:r>
            <w:r>
              <w:rPr>
                <w:rFonts w:ascii="宋体" w:eastAsia="宋体" w:hAnsi="宋体" w:cs="宋体" w:hint="eastAsia"/>
                <w:bCs/>
                <w:sz w:val="24"/>
                <w:szCs w:val="24"/>
                <w:lang w:eastAsia="zh-CN"/>
              </w:rPr>
              <w:t>；二是</w:t>
            </w:r>
            <w:proofErr w:type="gramStart"/>
            <w:r>
              <w:rPr>
                <w:rFonts w:ascii="宋体" w:eastAsia="宋体" w:hAnsi="宋体" w:cs="宋体"/>
                <w:bCs/>
                <w:sz w:val="24"/>
                <w:szCs w:val="24"/>
                <w:lang w:eastAsia="zh-CN"/>
              </w:rPr>
              <w:t>在选品方面</w:t>
            </w:r>
            <w:proofErr w:type="gramEnd"/>
            <w:r>
              <w:rPr>
                <w:rFonts w:ascii="宋体" w:eastAsia="宋体" w:hAnsi="宋体" w:cs="宋体"/>
                <w:bCs/>
                <w:sz w:val="24"/>
                <w:szCs w:val="24"/>
                <w:lang w:eastAsia="zh-CN"/>
              </w:rPr>
              <w:t>从易理解、易推广的产品入手，结合市场及客户情况</w:t>
            </w:r>
            <w:r>
              <w:rPr>
                <w:rFonts w:ascii="宋体" w:eastAsia="宋体" w:hAnsi="宋体" w:cs="宋体" w:hint="eastAsia"/>
                <w:bCs/>
                <w:sz w:val="24"/>
                <w:szCs w:val="24"/>
                <w:lang w:eastAsia="zh-CN"/>
              </w:rPr>
              <w:t>逐步</w:t>
            </w:r>
            <w:r>
              <w:rPr>
                <w:rFonts w:ascii="宋体" w:eastAsia="宋体" w:hAnsi="宋体" w:cs="宋体"/>
                <w:bCs/>
                <w:sz w:val="24"/>
                <w:szCs w:val="24"/>
                <w:lang w:eastAsia="zh-CN"/>
              </w:rPr>
              <w:t>优选合适的权益类产品</w:t>
            </w:r>
            <w:r>
              <w:rPr>
                <w:rFonts w:ascii="宋体" w:eastAsia="宋体" w:hAnsi="宋体" w:cs="宋体" w:hint="eastAsia"/>
                <w:bCs/>
                <w:sz w:val="24"/>
                <w:szCs w:val="24"/>
                <w:lang w:eastAsia="zh-CN"/>
              </w:rPr>
              <w:t>；三是</w:t>
            </w:r>
            <w:r>
              <w:rPr>
                <w:rFonts w:ascii="宋体" w:eastAsia="宋体" w:hAnsi="宋体" w:cs="宋体"/>
                <w:bCs/>
                <w:sz w:val="24"/>
                <w:szCs w:val="24"/>
                <w:lang w:eastAsia="zh-CN"/>
              </w:rPr>
              <w:t>在坚持合</w:t>
            </w:r>
            <w:proofErr w:type="gramStart"/>
            <w:r>
              <w:rPr>
                <w:rFonts w:ascii="宋体" w:eastAsia="宋体" w:hAnsi="宋体" w:cs="宋体"/>
                <w:bCs/>
                <w:sz w:val="24"/>
                <w:szCs w:val="24"/>
                <w:lang w:eastAsia="zh-CN"/>
              </w:rPr>
              <w:t>规</w:t>
            </w:r>
            <w:proofErr w:type="gramEnd"/>
            <w:r>
              <w:rPr>
                <w:rFonts w:ascii="宋体" w:eastAsia="宋体" w:hAnsi="宋体" w:cs="宋体"/>
                <w:bCs/>
                <w:sz w:val="24"/>
                <w:szCs w:val="24"/>
                <w:lang w:eastAsia="zh-CN"/>
              </w:rPr>
              <w:t>展业的前提下，</w:t>
            </w:r>
            <w:r>
              <w:rPr>
                <w:rFonts w:ascii="宋体" w:eastAsia="宋体" w:hAnsi="宋体" w:cs="宋体" w:hint="eastAsia"/>
                <w:bCs/>
                <w:sz w:val="24"/>
                <w:szCs w:val="24"/>
                <w:lang w:eastAsia="zh-CN"/>
              </w:rPr>
              <w:t>在</w:t>
            </w:r>
            <w:r>
              <w:rPr>
                <w:rFonts w:ascii="宋体" w:eastAsia="宋体" w:hAnsi="宋体" w:cs="宋体"/>
                <w:bCs/>
                <w:sz w:val="24"/>
                <w:szCs w:val="24"/>
                <w:lang w:eastAsia="zh-CN"/>
              </w:rPr>
              <w:t>营销推广</w:t>
            </w:r>
            <w:r>
              <w:rPr>
                <w:rFonts w:ascii="宋体" w:eastAsia="宋体" w:hAnsi="宋体" w:cs="宋体" w:hint="eastAsia"/>
                <w:bCs/>
                <w:sz w:val="24"/>
                <w:szCs w:val="24"/>
                <w:lang w:eastAsia="zh-CN"/>
              </w:rPr>
              <w:t>过程中充分</w:t>
            </w:r>
            <w:r>
              <w:rPr>
                <w:rFonts w:ascii="宋体" w:eastAsia="宋体" w:hAnsi="宋体" w:cs="宋体"/>
                <w:bCs/>
                <w:sz w:val="24"/>
                <w:szCs w:val="24"/>
                <w:lang w:eastAsia="zh-CN"/>
              </w:rPr>
              <w:t>体现大湾区地域特色；</w:t>
            </w:r>
            <w:r>
              <w:rPr>
                <w:rFonts w:ascii="宋体" w:eastAsia="宋体" w:hAnsi="宋体" w:cs="宋体" w:hint="eastAsia"/>
                <w:bCs/>
                <w:sz w:val="24"/>
                <w:szCs w:val="24"/>
                <w:lang w:eastAsia="zh-CN"/>
              </w:rPr>
              <w:t>四是</w:t>
            </w:r>
            <w:r>
              <w:rPr>
                <w:rFonts w:ascii="宋体" w:eastAsia="宋体" w:hAnsi="宋体" w:cs="宋体"/>
                <w:bCs/>
                <w:sz w:val="24"/>
                <w:szCs w:val="24"/>
                <w:lang w:eastAsia="zh-CN"/>
              </w:rPr>
              <w:t>在</w:t>
            </w:r>
            <w:r>
              <w:rPr>
                <w:rFonts w:ascii="宋体" w:eastAsia="宋体" w:hAnsi="宋体" w:cs="宋体" w:hint="eastAsia"/>
                <w:bCs/>
                <w:sz w:val="24"/>
                <w:szCs w:val="24"/>
                <w:lang w:eastAsia="zh-CN"/>
              </w:rPr>
              <w:t>加强</w:t>
            </w:r>
            <w:r>
              <w:rPr>
                <w:rFonts w:ascii="宋体" w:eastAsia="宋体" w:hAnsi="宋体" w:cs="宋体"/>
                <w:bCs/>
                <w:sz w:val="24"/>
                <w:szCs w:val="24"/>
                <w:lang w:eastAsia="zh-CN"/>
              </w:rPr>
              <w:t>协同，积极</w:t>
            </w:r>
            <w:proofErr w:type="gramStart"/>
            <w:r>
              <w:rPr>
                <w:rFonts w:ascii="宋体" w:eastAsia="宋体" w:hAnsi="宋体" w:cs="宋体"/>
                <w:bCs/>
                <w:sz w:val="24"/>
                <w:szCs w:val="24"/>
                <w:lang w:eastAsia="zh-CN"/>
              </w:rPr>
              <w:t>协调国证国际</w:t>
            </w:r>
            <w:proofErr w:type="gramEnd"/>
            <w:r>
              <w:rPr>
                <w:rFonts w:ascii="宋体" w:eastAsia="宋体" w:hAnsi="宋体" w:cs="宋体"/>
                <w:bCs/>
                <w:sz w:val="24"/>
                <w:szCs w:val="24"/>
                <w:lang w:eastAsia="zh-CN"/>
              </w:rPr>
              <w:t>、</w:t>
            </w:r>
            <w:proofErr w:type="gramStart"/>
            <w:r>
              <w:rPr>
                <w:rFonts w:ascii="宋体" w:eastAsia="宋体" w:hAnsi="宋体" w:cs="宋体"/>
                <w:bCs/>
                <w:sz w:val="24"/>
                <w:szCs w:val="24"/>
                <w:lang w:eastAsia="zh-CN"/>
              </w:rPr>
              <w:t>香港资管机</w:t>
            </w:r>
            <w:proofErr w:type="gramEnd"/>
            <w:r>
              <w:rPr>
                <w:rFonts w:ascii="宋体" w:eastAsia="宋体" w:hAnsi="宋体" w:cs="宋体"/>
                <w:bCs/>
                <w:sz w:val="24"/>
                <w:szCs w:val="24"/>
                <w:lang w:eastAsia="zh-CN"/>
              </w:rPr>
              <w:t>构与分支机构充分互动，借助</w:t>
            </w:r>
            <w:proofErr w:type="gramStart"/>
            <w:r>
              <w:rPr>
                <w:rFonts w:ascii="宋体" w:eastAsia="宋体" w:hAnsi="宋体" w:cs="宋体"/>
                <w:bCs/>
                <w:sz w:val="24"/>
                <w:szCs w:val="24"/>
                <w:lang w:eastAsia="zh-CN"/>
              </w:rPr>
              <w:t>香港资管机</w:t>
            </w:r>
            <w:proofErr w:type="gramEnd"/>
            <w:r>
              <w:rPr>
                <w:rFonts w:ascii="宋体" w:eastAsia="宋体" w:hAnsi="宋体" w:cs="宋体"/>
                <w:bCs/>
                <w:sz w:val="24"/>
                <w:szCs w:val="24"/>
                <w:lang w:eastAsia="zh-CN"/>
              </w:rPr>
              <w:t>构各类资源联合开展跨境投资策略会、线</w:t>
            </w:r>
            <w:proofErr w:type="gramStart"/>
            <w:r>
              <w:rPr>
                <w:rFonts w:ascii="宋体" w:eastAsia="宋体" w:hAnsi="宋体" w:cs="宋体"/>
                <w:bCs/>
                <w:sz w:val="24"/>
                <w:szCs w:val="24"/>
                <w:lang w:eastAsia="zh-CN"/>
              </w:rPr>
              <w:t>上投教直</w:t>
            </w:r>
            <w:proofErr w:type="gramEnd"/>
            <w:r>
              <w:rPr>
                <w:rFonts w:ascii="宋体" w:eastAsia="宋体" w:hAnsi="宋体" w:cs="宋体"/>
                <w:bCs/>
                <w:sz w:val="24"/>
                <w:szCs w:val="24"/>
                <w:lang w:eastAsia="zh-CN"/>
              </w:rPr>
              <w:t>播等专题活动，以增值服务的方式实现更好的业务推广效果。</w:t>
            </w:r>
          </w:p>
          <w:p w:rsidR="002B30F7" w:rsidRDefault="00915EE6">
            <w:pPr>
              <w:spacing w:line="360" w:lineRule="auto"/>
              <w:jc w:val="both"/>
              <w:rPr>
                <w:rFonts w:ascii="宋体" w:eastAsia="宋体" w:hAnsi="宋体" w:cs="宋体"/>
                <w:b/>
                <w:sz w:val="24"/>
                <w:szCs w:val="24"/>
                <w:lang w:eastAsia="zh-CN"/>
              </w:rPr>
            </w:pPr>
            <w:r>
              <w:rPr>
                <w:rFonts w:ascii="宋体" w:eastAsia="宋体" w:hAnsi="宋体" w:cs="宋体" w:hint="eastAsia"/>
                <w:b/>
                <w:sz w:val="24"/>
                <w:szCs w:val="24"/>
                <w:lang w:eastAsia="zh-CN"/>
              </w:rPr>
              <w:t>5、当下，北交所业务已经成为券商开展投行业务的重要抓手。国投证券是首批</w:t>
            </w:r>
            <w:r>
              <w:rPr>
                <w:rFonts w:ascii="宋体" w:eastAsia="宋体" w:hAnsi="宋体" w:cs="宋体"/>
                <w:b/>
                <w:sz w:val="24"/>
                <w:szCs w:val="24"/>
                <w:lang w:eastAsia="zh-CN"/>
              </w:rPr>
              <w:t>13家北交所做市商之一，并荣获2023年度优秀做市商。国投证券当前北交所业务开展情况如何？如何从IPO、并购重组、做市等方面把握北交所发展机遇？</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国投证券作为较早开展北交所业务的券商，一直高度重视服务与培育优质创新型中小企业。截至目前，国投证券投行</w:t>
            </w:r>
            <w:proofErr w:type="gramStart"/>
            <w:r>
              <w:rPr>
                <w:rFonts w:ascii="宋体" w:eastAsia="宋体" w:hAnsi="宋体" w:cs="宋体" w:hint="eastAsia"/>
                <w:bCs/>
                <w:sz w:val="24"/>
                <w:szCs w:val="24"/>
                <w:lang w:eastAsia="zh-CN"/>
              </w:rPr>
              <w:t>业务北交</w:t>
            </w:r>
            <w:proofErr w:type="gramEnd"/>
            <w:r>
              <w:rPr>
                <w:rFonts w:ascii="宋体" w:eastAsia="宋体" w:hAnsi="宋体" w:cs="宋体" w:hint="eastAsia"/>
                <w:bCs/>
                <w:sz w:val="24"/>
                <w:szCs w:val="24"/>
                <w:lang w:eastAsia="zh-CN"/>
              </w:rPr>
              <w:t>所上市企业</w:t>
            </w:r>
            <w:r>
              <w:rPr>
                <w:rFonts w:ascii="宋体" w:eastAsia="宋体" w:hAnsi="宋体" w:cs="宋体"/>
                <w:bCs/>
                <w:sz w:val="24"/>
                <w:szCs w:val="24"/>
                <w:lang w:eastAsia="zh-CN"/>
              </w:rPr>
              <w:t>13家，行业排名第5；持续督导企业181家，行业排名第8。2024年11月</w:t>
            </w:r>
            <w:r>
              <w:rPr>
                <w:rFonts w:ascii="宋体" w:eastAsia="宋体" w:hAnsi="宋体" w:cs="宋体" w:hint="eastAsia"/>
                <w:bCs/>
                <w:sz w:val="24"/>
                <w:szCs w:val="24"/>
                <w:lang w:eastAsia="zh-CN"/>
              </w:rPr>
              <w:t>，国投证券</w:t>
            </w:r>
            <w:r>
              <w:rPr>
                <w:rFonts w:ascii="宋体" w:eastAsia="宋体" w:hAnsi="宋体" w:cs="宋体"/>
                <w:bCs/>
                <w:sz w:val="24"/>
                <w:szCs w:val="24"/>
                <w:lang w:eastAsia="zh-CN"/>
              </w:rPr>
              <w:t>成功协助聚星科技于北交所上市</w:t>
            </w:r>
            <w:r>
              <w:rPr>
                <w:rFonts w:ascii="宋体" w:eastAsia="宋体" w:hAnsi="宋体" w:cs="宋体" w:hint="eastAsia"/>
                <w:bCs/>
                <w:sz w:val="24"/>
                <w:szCs w:val="24"/>
                <w:lang w:eastAsia="zh-CN"/>
              </w:rPr>
              <w:t>。</w:t>
            </w:r>
            <w:r>
              <w:rPr>
                <w:rFonts w:ascii="宋体" w:eastAsia="宋体" w:hAnsi="宋体" w:cs="宋体"/>
                <w:bCs/>
                <w:sz w:val="24"/>
                <w:szCs w:val="24"/>
                <w:lang w:eastAsia="zh-CN"/>
              </w:rPr>
              <w:t>北交所储备项目丰富，2024年1-11月国投</w:t>
            </w:r>
            <w:proofErr w:type="gramStart"/>
            <w:r>
              <w:rPr>
                <w:rFonts w:ascii="宋体" w:eastAsia="宋体" w:hAnsi="宋体" w:cs="宋体"/>
                <w:bCs/>
                <w:sz w:val="24"/>
                <w:szCs w:val="24"/>
                <w:lang w:eastAsia="zh-CN"/>
              </w:rPr>
              <w:t>证券北交</w:t>
            </w:r>
            <w:proofErr w:type="gramEnd"/>
            <w:r>
              <w:rPr>
                <w:rFonts w:ascii="宋体" w:eastAsia="宋体" w:hAnsi="宋体" w:cs="宋体"/>
                <w:bCs/>
                <w:sz w:val="24"/>
                <w:szCs w:val="24"/>
                <w:lang w:eastAsia="zh-CN"/>
              </w:rPr>
              <w:t>所IPO过会项目2家，新增受理项目5家，新增受理量排名第一。</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bCs/>
                <w:sz w:val="24"/>
                <w:szCs w:val="24"/>
                <w:lang w:eastAsia="zh-CN"/>
              </w:rPr>
              <w:t>2023年</w:t>
            </w:r>
            <w:r>
              <w:rPr>
                <w:rFonts w:ascii="宋体" w:eastAsia="宋体" w:hAnsi="宋体" w:cs="宋体" w:hint="eastAsia"/>
                <w:bCs/>
                <w:sz w:val="24"/>
                <w:szCs w:val="24"/>
                <w:lang w:eastAsia="zh-CN"/>
              </w:rPr>
              <w:t>，</w:t>
            </w:r>
            <w:r>
              <w:rPr>
                <w:rFonts w:ascii="宋体" w:eastAsia="宋体" w:hAnsi="宋体" w:cs="宋体"/>
                <w:bCs/>
                <w:sz w:val="24"/>
                <w:szCs w:val="24"/>
                <w:lang w:eastAsia="zh-CN"/>
              </w:rPr>
              <w:t>国投证券成为首批13家北交所做市商之一，进一步夯实做市优势，并荣获2023年北交所做市商第二名，以及北交所年度优秀做市商；2024年北交所做市商季度排名稳居行业前三。国投</w:t>
            </w:r>
            <w:proofErr w:type="gramStart"/>
            <w:r>
              <w:rPr>
                <w:rFonts w:ascii="宋体" w:eastAsia="宋体" w:hAnsi="宋体" w:cs="宋体"/>
                <w:bCs/>
                <w:sz w:val="24"/>
                <w:szCs w:val="24"/>
                <w:lang w:eastAsia="zh-CN"/>
              </w:rPr>
              <w:t>证券北交所做市业务</w:t>
            </w:r>
            <w:proofErr w:type="gramEnd"/>
            <w:r>
              <w:rPr>
                <w:rFonts w:ascii="宋体" w:eastAsia="宋体" w:hAnsi="宋体" w:cs="宋体"/>
                <w:bCs/>
                <w:sz w:val="24"/>
                <w:szCs w:val="24"/>
                <w:lang w:eastAsia="zh-CN"/>
              </w:rPr>
              <w:t>将继续巩固做市</w:t>
            </w:r>
            <w:proofErr w:type="gramStart"/>
            <w:r>
              <w:rPr>
                <w:rFonts w:ascii="宋体" w:eastAsia="宋体" w:hAnsi="宋体" w:cs="宋体"/>
                <w:bCs/>
                <w:sz w:val="24"/>
                <w:szCs w:val="24"/>
                <w:lang w:eastAsia="zh-CN"/>
              </w:rPr>
              <w:t>商优</w:t>
            </w:r>
            <w:proofErr w:type="gramEnd"/>
            <w:r>
              <w:rPr>
                <w:rFonts w:ascii="宋体" w:eastAsia="宋体" w:hAnsi="宋体" w:cs="宋体"/>
                <w:bCs/>
                <w:sz w:val="24"/>
                <w:szCs w:val="24"/>
                <w:lang w:eastAsia="zh-CN"/>
              </w:rPr>
              <w:t>势地位，积极响应</w:t>
            </w:r>
            <w:r>
              <w:rPr>
                <w:rFonts w:ascii="宋体" w:eastAsia="宋体" w:hAnsi="宋体" w:cs="宋体" w:hint="eastAsia"/>
                <w:bCs/>
                <w:sz w:val="24"/>
                <w:szCs w:val="24"/>
                <w:lang w:eastAsia="zh-CN"/>
              </w:rPr>
              <w:t>“</w:t>
            </w:r>
            <w:r>
              <w:rPr>
                <w:rFonts w:ascii="宋体" w:eastAsia="宋体" w:hAnsi="宋体" w:cs="宋体"/>
                <w:bCs/>
                <w:sz w:val="24"/>
                <w:szCs w:val="24"/>
                <w:lang w:eastAsia="zh-CN"/>
              </w:rPr>
              <w:t>北交所深改19条”，在北交所高质量扩容发展期，发挥好做市</w:t>
            </w:r>
            <w:proofErr w:type="gramStart"/>
            <w:r>
              <w:rPr>
                <w:rFonts w:ascii="宋体" w:eastAsia="宋体" w:hAnsi="宋体" w:cs="宋体"/>
                <w:bCs/>
                <w:sz w:val="24"/>
                <w:szCs w:val="24"/>
                <w:lang w:eastAsia="zh-CN"/>
              </w:rPr>
              <w:t>商价</w:t>
            </w:r>
            <w:proofErr w:type="gramEnd"/>
            <w:r>
              <w:rPr>
                <w:rFonts w:ascii="宋体" w:eastAsia="宋体" w:hAnsi="宋体" w:cs="宋体"/>
                <w:bCs/>
                <w:sz w:val="24"/>
                <w:szCs w:val="24"/>
                <w:lang w:eastAsia="zh-CN"/>
              </w:rPr>
              <w:t>值发现、价值传递功能。</w:t>
            </w:r>
            <w:r>
              <w:rPr>
                <w:rFonts w:ascii="宋体" w:eastAsia="宋体" w:hAnsi="宋体" w:cs="宋体" w:hint="eastAsia"/>
                <w:bCs/>
                <w:sz w:val="24"/>
                <w:szCs w:val="24"/>
                <w:lang w:eastAsia="zh-CN"/>
              </w:rPr>
              <w:t>未来，国投证券将继续加大北交所业务投入，提高执业质量，积极服务国家创新发展战略，不断提升服务创新型中小企业能力，为北交所的市场繁荣、中小企业的创新发展贡献力量。</w:t>
            </w:r>
          </w:p>
          <w:p w:rsidR="002B30F7" w:rsidRDefault="00915EE6">
            <w:pPr>
              <w:spacing w:line="360" w:lineRule="auto"/>
              <w:jc w:val="both"/>
              <w:rPr>
                <w:rFonts w:ascii="宋体" w:eastAsia="宋体" w:hAnsi="宋体" w:cs="宋体"/>
                <w:b/>
                <w:sz w:val="24"/>
                <w:szCs w:val="24"/>
                <w:lang w:eastAsia="zh-CN"/>
              </w:rPr>
            </w:pPr>
            <w:r>
              <w:rPr>
                <w:rFonts w:ascii="宋体" w:eastAsia="宋体" w:hAnsi="宋体" w:cs="宋体" w:hint="eastAsia"/>
                <w:b/>
                <w:sz w:val="24"/>
                <w:szCs w:val="24"/>
                <w:lang w:eastAsia="zh-CN"/>
              </w:rPr>
              <w:t>6、我们注意到国投证券自去年</w:t>
            </w:r>
            <w:r>
              <w:rPr>
                <w:rFonts w:ascii="宋体" w:eastAsia="宋体" w:hAnsi="宋体" w:cs="宋体"/>
                <w:b/>
                <w:sz w:val="24"/>
                <w:szCs w:val="24"/>
                <w:lang w:eastAsia="zh-CN"/>
              </w:rPr>
              <w:t>12月更名以来，旗下各子公司也在陆续更名，这对公司经营和展业将产生何种影响？如何进一步提高投资者与客户对国</w:t>
            </w:r>
            <w:proofErr w:type="gramStart"/>
            <w:r>
              <w:rPr>
                <w:rFonts w:ascii="宋体" w:eastAsia="宋体" w:hAnsi="宋体" w:cs="宋体"/>
                <w:b/>
                <w:sz w:val="24"/>
                <w:szCs w:val="24"/>
                <w:lang w:eastAsia="zh-CN"/>
              </w:rPr>
              <w:t>投品牌</w:t>
            </w:r>
            <w:proofErr w:type="gramEnd"/>
            <w:r>
              <w:rPr>
                <w:rFonts w:ascii="宋体" w:eastAsia="宋体" w:hAnsi="宋体" w:cs="宋体"/>
                <w:b/>
                <w:sz w:val="24"/>
                <w:szCs w:val="24"/>
                <w:lang w:eastAsia="zh-CN"/>
              </w:rPr>
              <w:t>的知名度和认可度？</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自</w:t>
            </w:r>
            <w:r>
              <w:rPr>
                <w:rFonts w:ascii="宋体" w:eastAsia="宋体" w:hAnsi="宋体" w:cs="宋体"/>
                <w:bCs/>
                <w:sz w:val="24"/>
                <w:szCs w:val="24"/>
                <w:lang w:eastAsia="zh-CN"/>
              </w:rPr>
              <w:t>国投证券</w:t>
            </w:r>
            <w:r>
              <w:rPr>
                <w:rFonts w:ascii="宋体" w:eastAsia="宋体" w:hAnsi="宋体" w:cs="宋体" w:hint="eastAsia"/>
                <w:bCs/>
                <w:sz w:val="24"/>
                <w:szCs w:val="24"/>
                <w:lang w:eastAsia="zh-CN"/>
              </w:rPr>
              <w:t>于</w:t>
            </w:r>
            <w:r>
              <w:rPr>
                <w:rFonts w:ascii="宋体" w:eastAsia="宋体" w:hAnsi="宋体" w:cs="宋体"/>
                <w:bCs/>
                <w:sz w:val="24"/>
                <w:szCs w:val="24"/>
                <w:lang w:eastAsia="zh-CN"/>
              </w:rPr>
              <w:t>2023年12月8日完成更名后，基于集团品牌规划、战略定位和自身发展需要，</w:t>
            </w:r>
            <w:r>
              <w:rPr>
                <w:rFonts w:ascii="宋体" w:eastAsia="宋体" w:hAnsi="宋体" w:cs="宋体" w:hint="eastAsia"/>
                <w:bCs/>
                <w:sz w:val="24"/>
                <w:szCs w:val="24"/>
                <w:lang w:eastAsia="zh-CN"/>
              </w:rPr>
              <w:t>其下属</w:t>
            </w:r>
            <w:r>
              <w:rPr>
                <w:rFonts w:ascii="宋体" w:eastAsia="宋体" w:hAnsi="宋体" w:cs="宋体"/>
                <w:bCs/>
                <w:sz w:val="24"/>
                <w:szCs w:val="24"/>
                <w:lang w:eastAsia="zh-CN"/>
              </w:rPr>
              <w:t>全资控股子公司陆续开展了商</w:t>
            </w:r>
            <w:proofErr w:type="gramStart"/>
            <w:r>
              <w:rPr>
                <w:rFonts w:ascii="宋体" w:eastAsia="宋体" w:hAnsi="宋体" w:cs="宋体"/>
                <w:bCs/>
                <w:sz w:val="24"/>
                <w:szCs w:val="24"/>
                <w:lang w:eastAsia="zh-CN"/>
              </w:rPr>
              <w:t>事主体</w:t>
            </w:r>
            <w:proofErr w:type="gramEnd"/>
            <w:r>
              <w:rPr>
                <w:rFonts w:ascii="宋体" w:eastAsia="宋体" w:hAnsi="宋体" w:cs="宋体"/>
                <w:bCs/>
                <w:sz w:val="24"/>
                <w:szCs w:val="24"/>
                <w:lang w:eastAsia="zh-CN"/>
              </w:rPr>
              <w:t>变更登记，并先后取得市场监督管理局换发的《营业执照》，相关更名工作近日已圆满完成。更名所涉及的子公司分别从事国际业务、期货业务、私</w:t>
            </w:r>
            <w:proofErr w:type="gramStart"/>
            <w:r>
              <w:rPr>
                <w:rFonts w:ascii="宋体" w:eastAsia="宋体" w:hAnsi="宋体" w:cs="宋体"/>
                <w:bCs/>
                <w:sz w:val="24"/>
                <w:szCs w:val="24"/>
                <w:lang w:eastAsia="zh-CN"/>
              </w:rPr>
              <w:t>募股权基金</w:t>
            </w:r>
            <w:proofErr w:type="gramEnd"/>
            <w:r>
              <w:rPr>
                <w:rFonts w:ascii="宋体" w:eastAsia="宋体" w:hAnsi="宋体" w:cs="宋体"/>
                <w:bCs/>
                <w:sz w:val="24"/>
                <w:szCs w:val="24"/>
                <w:lang w:eastAsia="zh-CN"/>
              </w:rPr>
              <w:t>管理投资、另类投资、证券资产管理和物业服务等，包括：国投证券国际金融控股有限公司、国投期货有限公司、国</w:t>
            </w:r>
            <w:proofErr w:type="gramStart"/>
            <w:r>
              <w:rPr>
                <w:rFonts w:ascii="宋体" w:eastAsia="宋体" w:hAnsi="宋体" w:cs="宋体"/>
                <w:bCs/>
                <w:sz w:val="24"/>
                <w:szCs w:val="24"/>
                <w:lang w:eastAsia="zh-CN"/>
              </w:rPr>
              <w:t>投国证私募股权基金</w:t>
            </w:r>
            <w:proofErr w:type="gramEnd"/>
            <w:r>
              <w:rPr>
                <w:rFonts w:ascii="宋体" w:eastAsia="宋体" w:hAnsi="宋体" w:cs="宋体"/>
                <w:bCs/>
                <w:sz w:val="24"/>
                <w:szCs w:val="24"/>
                <w:lang w:eastAsia="zh-CN"/>
              </w:rPr>
              <w:t>管理有限公司、国投证券投资有限公司、国投证券资产管理有限公司、</w:t>
            </w:r>
            <w:proofErr w:type="gramStart"/>
            <w:r>
              <w:rPr>
                <w:rFonts w:ascii="宋体" w:eastAsia="宋体" w:hAnsi="宋体" w:cs="宋体"/>
                <w:bCs/>
                <w:sz w:val="24"/>
                <w:szCs w:val="24"/>
                <w:lang w:eastAsia="zh-CN"/>
              </w:rPr>
              <w:t>国证商</w:t>
            </w:r>
            <w:proofErr w:type="gramEnd"/>
            <w:r>
              <w:rPr>
                <w:rFonts w:ascii="宋体" w:eastAsia="宋体" w:hAnsi="宋体" w:cs="宋体"/>
                <w:bCs/>
                <w:sz w:val="24"/>
                <w:szCs w:val="24"/>
                <w:lang w:eastAsia="zh-CN"/>
              </w:rPr>
              <w:t>业服务（深圳）有限公司</w:t>
            </w:r>
            <w:r>
              <w:rPr>
                <w:rFonts w:ascii="宋体" w:eastAsia="宋体" w:hAnsi="宋体" w:cs="宋体" w:hint="eastAsia"/>
                <w:bCs/>
                <w:sz w:val="24"/>
                <w:szCs w:val="24"/>
                <w:lang w:eastAsia="zh-CN"/>
              </w:rPr>
              <w:t>等</w:t>
            </w:r>
            <w:r>
              <w:rPr>
                <w:rFonts w:ascii="宋体" w:eastAsia="宋体" w:hAnsi="宋体" w:cs="宋体"/>
                <w:bCs/>
                <w:sz w:val="24"/>
                <w:szCs w:val="24"/>
                <w:lang w:eastAsia="zh-CN"/>
              </w:rPr>
              <w:t>。</w:t>
            </w:r>
          </w:p>
          <w:p w:rsidR="002B30F7" w:rsidRDefault="00915EE6">
            <w:pPr>
              <w:spacing w:line="360" w:lineRule="auto"/>
              <w:ind w:firstLineChars="200" w:firstLine="480"/>
              <w:jc w:val="both"/>
              <w:rPr>
                <w:rFonts w:ascii="宋体" w:eastAsia="宋体" w:hAnsi="宋体" w:cs="宋体"/>
                <w:bCs/>
                <w:sz w:val="24"/>
                <w:szCs w:val="24"/>
                <w:lang w:eastAsia="zh-CN"/>
              </w:rPr>
            </w:pPr>
            <w:r>
              <w:rPr>
                <w:rFonts w:ascii="宋体" w:eastAsia="宋体" w:hAnsi="宋体" w:cs="宋体" w:hint="eastAsia"/>
                <w:bCs/>
                <w:sz w:val="24"/>
                <w:szCs w:val="24"/>
                <w:lang w:eastAsia="zh-CN"/>
              </w:rPr>
              <w:t>上述子公司更名有利于打造一流国</w:t>
            </w:r>
            <w:proofErr w:type="gramStart"/>
            <w:r>
              <w:rPr>
                <w:rFonts w:ascii="宋体" w:eastAsia="宋体" w:hAnsi="宋体" w:cs="宋体" w:hint="eastAsia"/>
                <w:bCs/>
                <w:sz w:val="24"/>
                <w:szCs w:val="24"/>
                <w:lang w:eastAsia="zh-CN"/>
              </w:rPr>
              <w:t>投金融</w:t>
            </w:r>
            <w:proofErr w:type="gramEnd"/>
            <w:r>
              <w:rPr>
                <w:rFonts w:ascii="宋体" w:eastAsia="宋体" w:hAnsi="宋体" w:cs="宋体" w:hint="eastAsia"/>
                <w:bCs/>
                <w:sz w:val="24"/>
                <w:szCs w:val="24"/>
                <w:lang w:eastAsia="zh-CN"/>
              </w:rPr>
              <w:t>品牌，促进国投证券在国投全产业链条上的价值互认，形成国</w:t>
            </w:r>
            <w:proofErr w:type="gramStart"/>
            <w:r>
              <w:rPr>
                <w:rFonts w:ascii="宋体" w:eastAsia="宋体" w:hAnsi="宋体" w:cs="宋体" w:hint="eastAsia"/>
                <w:bCs/>
                <w:sz w:val="24"/>
                <w:szCs w:val="24"/>
                <w:lang w:eastAsia="zh-CN"/>
              </w:rPr>
              <w:t>投系品</w:t>
            </w:r>
            <w:proofErr w:type="gramEnd"/>
            <w:r>
              <w:rPr>
                <w:rFonts w:ascii="宋体" w:eastAsia="宋体" w:hAnsi="宋体" w:cs="宋体" w:hint="eastAsia"/>
                <w:bCs/>
                <w:sz w:val="24"/>
                <w:szCs w:val="24"/>
                <w:lang w:eastAsia="zh-CN"/>
              </w:rPr>
              <w:t>牌合力，有利于打造</w:t>
            </w:r>
            <w:proofErr w:type="gramStart"/>
            <w:r>
              <w:rPr>
                <w:rFonts w:ascii="宋体" w:eastAsia="宋体" w:hAnsi="宋体" w:cs="宋体" w:hint="eastAsia"/>
                <w:bCs/>
                <w:sz w:val="24"/>
                <w:szCs w:val="24"/>
                <w:lang w:eastAsia="zh-CN"/>
              </w:rPr>
              <w:t>具有国投特</w:t>
            </w:r>
            <w:proofErr w:type="gramEnd"/>
            <w:r>
              <w:rPr>
                <w:rFonts w:ascii="宋体" w:eastAsia="宋体" w:hAnsi="宋体" w:cs="宋体" w:hint="eastAsia"/>
                <w:bCs/>
                <w:sz w:val="24"/>
                <w:szCs w:val="24"/>
                <w:lang w:eastAsia="zh-CN"/>
              </w:rPr>
              <w:t>色的产业金融服务实体经济发展模式，大力支持科技创新。上述名称变更不涉及股权变动，不会对国投资本或国投证券的经营及财务状况产生不利影响。</w:t>
            </w:r>
          </w:p>
        </w:tc>
      </w:tr>
      <w:tr w:rsidR="002B30F7">
        <w:trPr>
          <w:trHeight w:val="628"/>
          <w:jc w:val="center"/>
        </w:trPr>
        <w:tc>
          <w:tcPr>
            <w:tcW w:w="775" w:type="pct"/>
            <w:vAlign w:val="center"/>
          </w:tcPr>
          <w:p w:rsidR="002B30F7" w:rsidRDefault="00915EE6">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lastRenderedPageBreak/>
              <w:t>附件清单</w:t>
            </w:r>
          </w:p>
          <w:p w:rsidR="002B30F7" w:rsidRDefault="00915EE6">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（如有）</w:t>
            </w:r>
          </w:p>
        </w:tc>
        <w:tc>
          <w:tcPr>
            <w:tcW w:w="4224" w:type="pct"/>
          </w:tcPr>
          <w:p w:rsidR="002B30F7" w:rsidRDefault="00915EE6">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无</w:t>
            </w:r>
          </w:p>
        </w:tc>
      </w:tr>
      <w:tr w:rsidR="002B30F7">
        <w:trPr>
          <w:trHeight w:val="628"/>
          <w:jc w:val="center"/>
        </w:trPr>
        <w:tc>
          <w:tcPr>
            <w:tcW w:w="775" w:type="pct"/>
            <w:vAlign w:val="center"/>
          </w:tcPr>
          <w:p w:rsidR="002B30F7" w:rsidRDefault="00915EE6">
            <w:pPr>
              <w:pStyle w:val="TableParagraph"/>
              <w:spacing w:line="360" w:lineRule="auto"/>
              <w:jc w:val="center"/>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日期</w:t>
            </w:r>
          </w:p>
        </w:tc>
        <w:tc>
          <w:tcPr>
            <w:tcW w:w="4224" w:type="pct"/>
          </w:tcPr>
          <w:p w:rsidR="002B30F7" w:rsidRDefault="00915EE6">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sz w:val="24"/>
                <w:szCs w:val="24"/>
                <w:lang w:eastAsia="zh-CN"/>
              </w:rPr>
              <w:t>024</w:t>
            </w:r>
            <w:r>
              <w:rPr>
                <w:rFonts w:ascii="宋体" w:eastAsia="宋体" w:hAnsi="宋体" w:cs="宋体" w:hint="eastAsia"/>
                <w:sz w:val="24"/>
                <w:szCs w:val="24"/>
                <w:lang w:eastAsia="zh-CN"/>
              </w:rPr>
              <w:t>年</w:t>
            </w:r>
            <w:r>
              <w:rPr>
                <w:rFonts w:ascii="宋体" w:eastAsia="宋体" w:hAnsi="宋体" w:cs="宋体"/>
                <w:sz w:val="24"/>
                <w:szCs w:val="24"/>
                <w:lang w:eastAsia="zh-CN"/>
              </w:rPr>
              <w:t>12</w:t>
            </w:r>
            <w:r>
              <w:rPr>
                <w:rFonts w:ascii="宋体" w:eastAsia="宋体" w:hAnsi="宋体" w:cs="宋体" w:hint="eastAsia"/>
                <w:sz w:val="24"/>
                <w:szCs w:val="24"/>
                <w:lang w:eastAsia="zh-CN"/>
              </w:rPr>
              <w:t>月</w:t>
            </w:r>
            <w:r>
              <w:rPr>
                <w:rFonts w:ascii="宋体" w:eastAsia="宋体" w:hAnsi="宋体" w:cs="宋体"/>
                <w:sz w:val="24"/>
                <w:szCs w:val="24"/>
                <w:lang w:eastAsia="zh-CN"/>
              </w:rPr>
              <w:t>5</w:t>
            </w:r>
            <w:r>
              <w:rPr>
                <w:rFonts w:ascii="宋体" w:eastAsia="宋体" w:hAnsi="宋体" w:cs="宋体" w:hint="eastAsia"/>
                <w:sz w:val="24"/>
                <w:szCs w:val="24"/>
                <w:lang w:eastAsia="zh-CN"/>
              </w:rPr>
              <w:t>日</w:t>
            </w:r>
          </w:p>
        </w:tc>
      </w:tr>
    </w:tbl>
    <w:p w:rsidR="002B30F7" w:rsidRDefault="002B30F7">
      <w:pPr>
        <w:spacing w:line="360" w:lineRule="auto"/>
        <w:rPr>
          <w:lang w:eastAsia="zh-CN"/>
        </w:rPr>
      </w:pPr>
    </w:p>
    <w:sectPr w:rsidR="002B30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458" w:rsidRDefault="00782458" w:rsidP="00A50ACE">
      <w:r>
        <w:separator/>
      </w:r>
    </w:p>
  </w:endnote>
  <w:endnote w:type="continuationSeparator" w:id="0">
    <w:p w:rsidR="00782458" w:rsidRDefault="00782458" w:rsidP="00A5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00000287" w:usb1="080E0000" w:usb2="00000010"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汉仪旗黑KW 55S"/>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458" w:rsidRDefault="00782458" w:rsidP="00A50ACE">
      <w:r>
        <w:separator/>
      </w:r>
    </w:p>
  </w:footnote>
  <w:footnote w:type="continuationSeparator" w:id="0">
    <w:p w:rsidR="00782458" w:rsidRDefault="00782458" w:rsidP="00A50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AB"/>
    <w:rsid w:val="8D314B27"/>
    <w:rsid w:val="9AFB4ED3"/>
    <w:rsid w:val="9C7D5715"/>
    <w:rsid w:val="9DF5F7FC"/>
    <w:rsid w:val="9FFE4244"/>
    <w:rsid w:val="9FFFC891"/>
    <w:rsid w:val="A7987A6A"/>
    <w:rsid w:val="AAD7E24D"/>
    <w:rsid w:val="AFDDE264"/>
    <w:rsid w:val="AFF3F438"/>
    <w:rsid w:val="B3AD4DCF"/>
    <w:rsid w:val="B3DC3E8A"/>
    <w:rsid w:val="B6FE1B5A"/>
    <w:rsid w:val="B7BA8B02"/>
    <w:rsid w:val="BC5E90AB"/>
    <w:rsid w:val="BDBB1BD4"/>
    <w:rsid w:val="BDD7812E"/>
    <w:rsid w:val="BF3FBC44"/>
    <w:rsid w:val="BF973903"/>
    <w:rsid w:val="BFB7148B"/>
    <w:rsid w:val="BFBE5CA4"/>
    <w:rsid w:val="BFBFB160"/>
    <w:rsid w:val="BFFDB8F9"/>
    <w:rsid w:val="C71CE44D"/>
    <w:rsid w:val="C9DE94D5"/>
    <w:rsid w:val="CEDF54D3"/>
    <w:rsid w:val="CF7B86C3"/>
    <w:rsid w:val="D07F82D0"/>
    <w:rsid w:val="D6FECD3B"/>
    <w:rsid w:val="DD58B573"/>
    <w:rsid w:val="DDFF0837"/>
    <w:rsid w:val="DE4D828F"/>
    <w:rsid w:val="DEDE44C0"/>
    <w:rsid w:val="DF374D42"/>
    <w:rsid w:val="DF5B6641"/>
    <w:rsid w:val="DFBC1368"/>
    <w:rsid w:val="DFD61D6F"/>
    <w:rsid w:val="DFEDF476"/>
    <w:rsid w:val="DFEF77FC"/>
    <w:rsid w:val="DFFF6DF0"/>
    <w:rsid w:val="E76E9C74"/>
    <w:rsid w:val="E9EE253A"/>
    <w:rsid w:val="EBF33341"/>
    <w:rsid w:val="EBFF2A53"/>
    <w:rsid w:val="EC7F9628"/>
    <w:rsid w:val="EEBFC97E"/>
    <w:rsid w:val="EF65F8C7"/>
    <w:rsid w:val="F0FB8A34"/>
    <w:rsid w:val="F1DBC6DA"/>
    <w:rsid w:val="F1FF3FAC"/>
    <w:rsid w:val="F4DE48C3"/>
    <w:rsid w:val="F4DF19B7"/>
    <w:rsid w:val="F5EB8FB5"/>
    <w:rsid w:val="F79117C6"/>
    <w:rsid w:val="F7AF4E0B"/>
    <w:rsid w:val="F7F865D8"/>
    <w:rsid w:val="F9D75B86"/>
    <w:rsid w:val="F9DF066B"/>
    <w:rsid w:val="FAAE9385"/>
    <w:rsid w:val="FAFFAA81"/>
    <w:rsid w:val="FBB5E16E"/>
    <w:rsid w:val="FBEE500A"/>
    <w:rsid w:val="FD745992"/>
    <w:rsid w:val="FD75B22E"/>
    <w:rsid w:val="FDB2CDF7"/>
    <w:rsid w:val="FDBB3DC7"/>
    <w:rsid w:val="FDF72D5C"/>
    <w:rsid w:val="FF16D975"/>
    <w:rsid w:val="FF7CB7BE"/>
    <w:rsid w:val="FF7F0DD6"/>
    <w:rsid w:val="FF7FC899"/>
    <w:rsid w:val="FF7FD58F"/>
    <w:rsid w:val="FF978A96"/>
    <w:rsid w:val="FFBF8EDC"/>
    <w:rsid w:val="FFCFE719"/>
    <w:rsid w:val="FFCFFB2E"/>
    <w:rsid w:val="FFE5718A"/>
    <w:rsid w:val="FFF2F469"/>
    <w:rsid w:val="FFF6E2C5"/>
    <w:rsid w:val="FFF7BD68"/>
    <w:rsid w:val="FFFA5BB4"/>
    <w:rsid w:val="FFFB078C"/>
    <w:rsid w:val="000148E9"/>
    <w:rsid w:val="00016597"/>
    <w:rsid w:val="00017D2A"/>
    <w:rsid w:val="00031B5F"/>
    <w:rsid w:val="00032A60"/>
    <w:rsid w:val="00036408"/>
    <w:rsid w:val="00036E72"/>
    <w:rsid w:val="000470D1"/>
    <w:rsid w:val="00054DF5"/>
    <w:rsid w:val="00055B99"/>
    <w:rsid w:val="00065D22"/>
    <w:rsid w:val="00066D38"/>
    <w:rsid w:val="00067B04"/>
    <w:rsid w:val="00072389"/>
    <w:rsid w:val="0007452C"/>
    <w:rsid w:val="00081ACD"/>
    <w:rsid w:val="00090633"/>
    <w:rsid w:val="00094954"/>
    <w:rsid w:val="000A18CB"/>
    <w:rsid w:val="000A1E72"/>
    <w:rsid w:val="000A2CF3"/>
    <w:rsid w:val="000A4FFA"/>
    <w:rsid w:val="000B0735"/>
    <w:rsid w:val="000B2048"/>
    <w:rsid w:val="000B2CFA"/>
    <w:rsid w:val="000C4B19"/>
    <w:rsid w:val="000E06F4"/>
    <w:rsid w:val="000E626B"/>
    <w:rsid w:val="000E7C5E"/>
    <w:rsid w:val="000F58B7"/>
    <w:rsid w:val="00100A9F"/>
    <w:rsid w:val="00103293"/>
    <w:rsid w:val="00104A51"/>
    <w:rsid w:val="00105B80"/>
    <w:rsid w:val="001077BA"/>
    <w:rsid w:val="00122229"/>
    <w:rsid w:val="0014139F"/>
    <w:rsid w:val="001424BB"/>
    <w:rsid w:val="001447AB"/>
    <w:rsid w:val="00150E2D"/>
    <w:rsid w:val="00157969"/>
    <w:rsid w:val="00160234"/>
    <w:rsid w:val="001625C9"/>
    <w:rsid w:val="00162B32"/>
    <w:rsid w:val="00165461"/>
    <w:rsid w:val="00165C57"/>
    <w:rsid w:val="00167A71"/>
    <w:rsid w:val="00170C9D"/>
    <w:rsid w:val="00177B62"/>
    <w:rsid w:val="0018188E"/>
    <w:rsid w:val="00184D2F"/>
    <w:rsid w:val="00187B54"/>
    <w:rsid w:val="001925A1"/>
    <w:rsid w:val="001930AC"/>
    <w:rsid w:val="00194183"/>
    <w:rsid w:val="001A4FC1"/>
    <w:rsid w:val="001B4730"/>
    <w:rsid w:val="001C4226"/>
    <w:rsid w:val="001C4DB4"/>
    <w:rsid w:val="001D0108"/>
    <w:rsid w:val="001D649E"/>
    <w:rsid w:val="001D77F5"/>
    <w:rsid w:val="001E6195"/>
    <w:rsid w:val="001F159A"/>
    <w:rsid w:val="001F3463"/>
    <w:rsid w:val="001F6105"/>
    <w:rsid w:val="00202356"/>
    <w:rsid w:val="0020443C"/>
    <w:rsid w:val="0021568F"/>
    <w:rsid w:val="00222A7E"/>
    <w:rsid w:val="00224737"/>
    <w:rsid w:val="002273F1"/>
    <w:rsid w:val="00231F55"/>
    <w:rsid w:val="0023217F"/>
    <w:rsid w:val="00242BEA"/>
    <w:rsid w:val="00246564"/>
    <w:rsid w:val="00251F75"/>
    <w:rsid w:val="00252C94"/>
    <w:rsid w:val="0025645E"/>
    <w:rsid w:val="00266D1B"/>
    <w:rsid w:val="0027122E"/>
    <w:rsid w:val="00273C0D"/>
    <w:rsid w:val="00287367"/>
    <w:rsid w:val="002928F0"/>
    <w:rsid w:val="002A1E8A"/>
    <w:rsid w:val="002B202A"/>
    <w:rsid w:val="002B30F7"/>
    <w:rsid w:val="002C565C"/>
    <w:rsid w:val="002C6050"/>
    <w:rsid w:val="002C6FB7"/>
    <w:rsid w:val="002C745F"/>
    <w:rsid w:val="002D6A0C"/>
    <w:rsid w:val="002E6169"/>
    <w:rsid w:val="002E7451"/>
    <w:rsid w:val="002F1B04"/>
    <w:rsid w:val="002F2500"/>
    <w:rsid w:val="002F2A25"/>
    <w:rsid w:val="002F4391"/>
    <w:rsid w:val="00301F6D"/>
    <w:rsid w:val="00310372"/>
    <w:rsid w:val="003167A9"/>
    <w:rsid w:val="003202FF"/>
    <w:rsid w:val="00326036"/>
    <w:rsid w:val="0033471F"/>
    <w:rsid w:val="00336EB3"/>
    <w:rsid w:val="00337649"/>
    <w:rsid w:val="00337B40"/>
    <w:rsid w:val="00342B5B"/>
    <w:rsid w:val="00342F27"/>
    <w:rsid w:val="0034416B"/>
    <w:rsid w:val="00347DF1"/>
    <w:rsid w:val="00356983"/>
    <w:rsid w:val="00363BE5"/>
    <w:rsid w:val="003650F1"/>
    <w:rsid w:val="00367108"/>
    <w:rsid w:val="00367FC0"/>
    <w:rsid w:val="00374C64"/>
    <w:rsid w:val="00377770"/>
    <w:rsid w:val="00382DBF"/>
    <w:rsid w:val="003837C1"/>
    <w:rsid w:val="003924B6"/>
    <w:rsid w:val="00392BBD"/>
    <w:rsid w:val="00393ECF"/>
    <w:rsid w:val="0039433B"/>
    <w:rsid w:val="003A01D7"/>
    <w:rsid w:val="003A04AA"/>
    <w:rsid w:val="003A39FA"/>
    <w:rsid w:val="003B58DC"/>
    <w:rsid w:val="003B7ADC"/>
    <w:rsid w:val="003C1C6F"/>
    <w:rsid w:val="003C6BFD"/>
    <w:rsid w:val="003C78C6"/>
    <w:rsid w:val="003C7FD6"/>
    <w:rsid w:val="003D136A"/>
    <w:rsid w:val="003D3A6F"/>
    <w:rsid w:val="003D46FE"/>
    <w:rsid w:val="003D5B26"/>
    <w:rsid w:val="003D5E27"/>
    <w:rsid w:val="003D6DAC"/>
    <w:rsid w:val="003D7880"/>
    <w:rsid w:val="003D78A2"/>
    <w:rsid w:val="003E00A3"/>
    <w:rsid w:val="003E15D8"/>
    <w:rsid w:val="003E3302"/>
    <w:rsid w:val="003F64A2"/>
    <w:rsid w:val="003F79D7"/>
    <w:rsid w:val="00402353"/>
    <w:rsid w:val="0040511F"/>
    <w:rsid w:val="004053F8"/>
    <w:rsid w:val="00405BEB"/>
    <w:rsid w:val="00405FCF"/>
    <w:rsid w:val="00406FA1"/>
    <w:rsid w:val="004170E2"/>
    <w:rsid w:val="00421F79"/>
    <w:rsid w:val="00426363"/>
    <w:rsid w:val="0043089D"/>
    <w:rsid w:val="00436329"/>
    <w:rsid w:val="004405D9"/>
    <w:rsid w:val="004444DD"/>
    <w:rsid w:val="004453B2"/>
    <w:rsid w:val="00445CB6"/>
    <w:rsid w:val="0044707C"/>
    <w:rsid w:val="00460D83"/>
    <w:rsid w:val="00461410"/>
    <w:rsid w:val="00475699"/>
    <w:rsid w:val="00477A51"/>
    <w:rsid w:val="004801E1"/>
    <w:rsid w:val="0048211B"/>
    <w:rsid w:val="0048544C"/>
    <w:rsid w:val="004863AE"/>
    <w:rsid w:val="00492E29"/>
    <w:rsid w:val="0049378F"/>
    <w:rsid w:val="00494C88"/>
    <w:rsid w:val="004970BD"/>
    <w:rsid w:val="004A59C8"/>
    <w:rsid w:val="004A7A9D"/>
    <w:rsid w:val="004B3BCC"/>
    <w:rsid w:val="004B6264"/>
    <w:rsid w:val="004C1423"/>
    <w:rsid w:val="004C560E"/>
    <w:rsid w:val="004E5276"/>
    <w:rsid w:val="004E6EAC"/>
    <w:rsid w:val="00502159"/>
    <w:rsid w:val="00504AA1"/>
    <w:rsid w:val="0050754A"/>
    <w:rsid w:val="00520903"/>
    <w:rsid w:val="005305A6"/>
    <w:rsid w:val="00530C8C"/>
    <w:rsid w:val="00533EA7"/>
    <w:rsid w:val="0053576A"/>
    <w:rsid w:val="00544593"/>
    <w:rsid w:val="005609EB"/>
    <w:rsid w:val="00564111"/>
    <w:rsid w:val="005700AD"/>
    <w:rsid w:val="0057352D"/>
    <w:rsid w:val="00580A47"/>
    <w:rsid w:val="00586B2E"/>
    <w:rsid w:val="00587F66"/>
    <w:rsid w:val="005928ED"/>
    <w:rsid w:val="00595C07"/>
    <w:rsid w:val="005969E3"/>
    <w:rsid w:val="00596A74"/>
    <w:rsid w:val="005A331E"/>
    <w:rsid w:val="005A3F2F"/>
    <w:rsid w:val="005B0612"/>
    <w:rsid w:val="005B0F88"/>
    <w:rsid w:val="005B16C0"/>
    <w:rsid w:val="005B425C"/>
    <w:rsid w:val="005B5322"/>
    <w:rsid w:val="005C0E6E"/>
    <w:rsid w:val="005D3EA8"/>
    <w:rsid w:val="005D7C52"/>
    <w:rsid w:val="005E0AAA"/>
    <w:rsid w:val="005E2E05"/>
    <w:rsid w:val="005F3E61"/>
    <w:rsid w:val="005F64C7"/>
    <w:rsid w:val="00613772"/>
    <w:rsid w:val="0061629F"/>
    <w:rsid w:val="00617469"/>
    <w:rsid w:val="00621B82"/>
    <w:rsid w:val="00624C1F"/>
    <w:rsid w:val="00627D23"/>
    <w:rsid w:val="00633D57"/>
    <w:rsid w:val="00634EB5"/>
    <w:rsid w:val="006370B7"/>
    <w:rsid w:val="00637767"/>
    <w:rsid w:val="00652B88"/>
    <w:rsid w:val="00653ABD"/>
    <w:rsid w:val="00654CD5"/>
    <w:rsid w:val="00661468"/>
    <w:rsid w:val="006725B8"/>
    <w:rsid w:val="006751AA"/>
    <w:rsid w:val="006838FF"/>
    <w:rsid w:val="006846C2"/>
    <w:rsid w:val="00685236"/>
    <w:rsid w:val="00686D09"/>
    <w:rsid w:val="006877C2"/>
    <w:rsid w:val="00692552"/>
    <w:rsid w:val="00692A9C"/>
    <w:rsid w:val="006A7688"/>
    <w:rsid w:val="006B082F"/>
    <w:rsid w:val="006B2491"/>
    <w:rsid w:val="006B4126"/>
    <w:rsid w:val="006B6D4C"/>
    <w:rsid w:val="006C6E2D"/>
    <w:rsid w:val="006E3278"/>
    <w:rsid w:val="006E60EE"/>
    <w:rsid w:val="006F1F73"/>
    <w:rsid w:val="006F2863"/>
    <w:rsid w:val="006F3A3E"/>
    <w:rsid w:val="006F3D66"/>
    <w:rsid w:val="006F7521"/>
    <w:rsid w:val="00703C64"/>
    <w:rsid w:val="007058DF"/>
    <w:rsid w:val="00705BEA"/>
    <w:rsid w:val="007074B8"/>
    <w:rsid w:val="00710137"/>
    <w:rsid w:val="00717506"/>
    <w:rsid w:val="007221A0"/>
    <w:rsid w:val="007255C8"/>
    <w:rsid w:val="00726C15"/>
    <w:rsid w:val="0072745A"/>
    <w:rsid w:val="007320A3"/>
    <w:rsid w:val="00737D01"/>
    <w:rsid w:val="007410E2"/>
    <w:rsid w:val="0074463C"/>
    <w:rsid w:val="00752B9C"/>
    <w:rsid w:val="0075695A"/>
    <w:rsid w:val="00757BB9"/>
    <w:rsid w:val="00761977"/>
    <w:rsid w:val="00761B52"/>
    <w:rsid w:val="00766209"/>
    <w:rsid w:val="00776AD1"/>
    <w:rsid w:val="00777293"/>
    <w:rsid w:val="00780620"/>
    <w:rsid w:val="00782458"/>
    <w:rsid w:val="00782C04"/>
    <w:rsid w:val="007837CC"/>
    <w:rsid w:val="00787222"/>
    <w:rsid w:val="00796851"/>
    <w:rsid w:val="007A1ABB"/>
    <w:rsid w:val="007A459B"/>
    <w:rsid w:val="007B3B40"/>
    <w:rsid w:val="007B5BCC"/>
    <w:rsid w:val="007B623E"/>
    <w:rsid w:val="007C06EA"/>
    <w:rsid w:val="007D0E77"/>
    <w:rsid w:val="007D0F7A"/>
    <w:rsid w:val="007D5F59"/>
    <w:rsid w:val="007D7CB2"/>
    <w:rsid w:val="007E1505"/>
    <w:rsid w:val="007E456D"/>
    <w:rsid w:val="007E5E59"/>
    <w:rsid w:val="007E7579"/>
    <w:rsid w:val="007F0CC7"/>
    <w:rsid w:val="007F193C"/>
    <w:rsid w:val="008166BD"/>
    <w:rsid w:val="0081799E"/>
    <w:rsid w:val="00820E75"/>
    <w:rsid w:val="00823029"/>
    <w:rsid w:val="00823532"/>
    <w:rsid w:val="008236D5"/>
    <w:rsid w:val="008247BA"/>
    <w:rsid w:val="008267DF"/>
    <w:rsid w:val="008312BC"/>
    <w:rsid w:val="0083247D"/>
    <w:rsid w:val="00835978"/>
    <w:rsid w:val="00836C31"/>
    <w:rsid w:val="008377DC"/>
    <w:rsid w:val="008402A7"/>
    <w:rsid w:val="0084452E"/>
    <w:rsid w:val="00845168"/>
    <w:rsid w:val="008468CE"/>
    <w:rsid w:val="0085206C"/>
    <w:rsid w:val="0085692D"/>
    <w:rsid w:val="00870471"/>
    <w:rsid w:val="0087237C"/>
    <w:rsid w:val="00873B53"/>
    <w:rsid w:val="00893E53"/>
    <w:rsid w:val="00897C24"/>
    <w:rsid w:val="008A2F30"/>
    <w:rsid w:val="008A339A"/>
    <w:rsid w:val="008B3345"/>
    <w:rsid w:val="008B5441"/>
    <w:rsid w:val="008C67C4"/>
    <w:rsid w:val="008C684A"/>
    <w:rsid w:val="008D194C"/>
    <w:rsid w:val="008D4AFC"/>
    <w:rsid w:val="008E72FA"/>
    <w:rsid w:val="008F3580"/>
    <w:rsid w:val="008F5BBF"/>
    <w:rsid w:val="00900D5D"/>
    <w:rsid w:val="0090324F"/>
    <w:rsid w:val="00905AE3"/>
    <w:rsid w:val="0090742F"/>
    <w:rsid w:val="0091072F"/>
    <w:rsid w:val="00910ACB"/>
    <w:rsid w:val="00915EE6"/>
    <w:rsid w:val="0092169C"/>
    <w:rsid w:val="009255EA"/>
    <w:rsid w:val="00925620"/>
    <w:rsid w:val="009262CB"/>
    <w:rsid w:val="009352CD"/>
    <w:rsid w:val="009407F0"/>
    <w:rsid w:val="009454D6"/>
    <w:rsid w:val="00945E36"/>
    <w:rsid w:val="00956736"/>
    <w:rsid w:val="00974C05"/>
    <w:rsid w:val="00986BE6"/>
    <w:rsid w:val="009A0FC2"/>
    <w:rsid w:val="009B04D6"/>
    <w:rsid w:val="009B1052"/>
    <w:rsid w:val="009B643B"/>
    <w:rsid w:val="009C1718"/>
    <w:rsid w:val="009D2CCE"/>
    <w:rsid w:val="009D2FB8"/>
    <w:rsid w:val="009D79B3"/>
    <w:rsid w:val="009E05A6"/>
    <w:rsid w:val="009E1D6A"/>
    <w:rsid w:val="009E3C5D"/>
    <w:rsid w:val="009E3FFD"/>
    <w:rsid w:val="009E6E3E"/>
    <w:rsid w:val="009E7A34"/>
    <w:rsid w:val="009E7D18"/>
    <w:rsid w:val="009F2690"/>
    <w:rsid w:val="009F3F72"/>
    <w:rsid w:val="00A00253"/>
    <w:rsid w:val="00A007E1"/>
    <w:rsid w:val="00A00AA2"/>
    <w:rsid w:val="00A20379"/>
    <w:rsid w:val="00A23C47"/>
    <w:rsid w:val="00A242A5"/>
    <w:rsid w:val="00A327C7"/>
    <w:rsid w:val="00A35A02"/>
    <w:rsid w:val="00A41BE3"/>
    <w:rsid w:val="00A462BC"/>
    <w:rsid w:val="00A465C0"/>
    <w:rsid w:val="00A50ACE"/>
    <w:rsid w:val="00A52D19"/>
    <w:rsid w:val="00A5351D"/>
    <w:rsid w:val="00A57B8C"/>
    <w:rsid w:val="00A63211"/>
    <w:rsid w:val="00A65A7F"/>
    <w:rsid w:val="00A67ECB"/>
    <w:rsid w:val="00A74FB5"/>
    <w:rsid w:val="00A84F7F"/>
    <w:rsid w:val="00A851B3"/>
    <w:rsid w:val="00A934B3"/>
    <w:rsid w:val="00A93F34"/>
    <w:rsid w:val="00A94C17"/>
    <w:rsid w:val="00AA0F1B"/>
    <w:rsid w:val="00AB4449"/>
    <w:rsid w:val="00AB5285"/>
    <w:rsid w:val="00AC4121"/>
    <w:rsid w:val="00AC5FC8"/>
    <w:rsid w:val="00AC7D32"/>
    <w:rsid w:val="00AD209E"/>
    <w:rsid w:val="00AD237B"/>
    <w:rsid w:val="00AD307E"/>
    <w:rsid w:val="00AD52A7"/>
    <w:rsid w:val="00AD6515"/>
    <w:rsid w:val="00AE4B58"/>
    <w:rsid w:val="00AE5EAC"/>
    <w:rsid w:val="00AF6CB5"/>
    <w:rsid w:val="00B04E72"/>
    <w:rsid w:val="00B10E1E"/>
    <w:rsid w:val="00B14E39"/>
    <w:rsid w:val="00B21A61"/>
    <w:rsid w:val="00B24D25"/>
    <w:rsid w:val="00B33012"/>
    <w:rsid w:val="00B34B76"/>
    <w:rsid w:val="00B34E6B"/>
    <w:rsid w:val="00B35609"/>
    <w:rsid w:val="00B4050C"/>
    <w:rsid w:val="00B43745"/>
    <w:rsid w:val="00B45E84"/>
    <w:rsid w:val="00B5656E"/>
    <w:rsid w:val="00B63770"/>
    <w:rsid w:val="00B66C1D"/>
    <w:rsid w:val="00B7149B"/>
    <w:rsid w:val="00B83AB9"/>
    <w:rsid w:val="00B864D0"/>
    <w:rsid w:val="00B9036B"/>
    <w:rsid w:val="00B93394"/>
    <w:rsid w:val="00B94D58"/>
    <w:rsid w:val="00B96C29"/>
    <w:rsid w:val="00BA3002"/>
    <w:rsid w:val="00BA3ECC"/>
    <w:rsid w:val="00BA7FF9"/>
    <w:rsid w:val="00BB1955"/>
    <w:rsid w:val="00BB2199"/>
    <w:rsid w:val="00BB2DE1"/>
    <w:rsid w:val="00BB6042"/>
    <w:rsid w:val="00BC218B"/>
    <w:rsid w:val="00BC36E4"/>
    <w:rsid w:val="00BD5ACC"/>
    <w:rsid w:val="00BE1020"/>
    <w:rsid w:val="00BE365E"/>
    <w:rsid w:val="00BE3F64"/>
    <w:rsid w:val="00BE4903"/>
    <w:rsid w:val="00BE6FD0"/>
    <w:rsid w:val="00BF090C"/>
    <w:rsid w:val="00BF5861"/>
    <w:rsid w:val="00BF7770"/>
    <w:rsid w:val="00C064F9"/>
    <w:rsid w:val="00C15F04"/>
    <w:rsid w:val="00C1705D"/>
    <w:rsid w:val="00C1737C"/>
    <w:rsid w:val="00C178F3"/>
    <w:rsid w:val="00C17D61"/>
    <w:rsid w:val="00C266C4"/>
    <w:rsid w:val="00C333E2"/>
    <w:rsid w:val="00C3486C"/>
    <w:rsid w:val="00C36688"/>
    <w:rsid w:val="00C37415"/>
    <w:rsid w:val="00C41EE2"/>
    <w:rsid w:val="00C54EEF"/>
    <w:rsid w:val="00C60838"/>
    <w:rsid w:val="00C72C6B"/>
    <w:rsid w:val="00C75806"/>
    <w:rsid w:val="00C826EF"/>
    <w:rsid w:val="00C86DD3"/>
    <w:rsid w:val="00C86F83"/>
    <w:rsid w:val="00C934AB"/>
    <w:rsid w:val="00CB69FD"/>
    <w:rsid w:val="00CB7DD9"/>
    <w:rsid w:val="00CC4AD0"/>
    <w:rsid w:val="00CD6E6E"/>
    <w:rsid w:val="00CD7A8A"/>
    <w:rsid w:val="00CE1D20"/>
    <w:rsid w:val="00CE7414"/>
    <w:rsid w:val="00CF0B9D"/>
    <w:rsid w:val="00CF39D6"/>
    <w:rsid w:val="00CF3D6D"/>
    <w:rsid w:val="00CF607F"/>
    <w:rsid w:val="00D0187F"/>
    <w:rsid w:val="00D04417"/>
    <w:rsid w:val="00D17A85"/>
    <w:rsid w:val="00D21C3A"/>
    <w:rsid w:val="00D30F47"/>
    <w:rsid w:val="00D3215F"/>
    <w:rsid w:val="00D35144"/>
    <w:rsid w:val="00D36E11"/>
    <w:rsid w:val="00D37619"/>
    <w:rsid w:val="00D401D1"/>
    <w:rsid w:val="00D45B22"/>
    <w:rsid w:val="00D46802"/>
    <w:rsid w:val="00D47BF7"/>
    <w:rsid w:val="00D6108D"/>
    <w:rsid w:val="00D64E8C"/>
    <w:rsid w:val="00D661A8"/>
    <w:rsid w:val="00D67A19"/>
    <w:rsid w:val="00D82B9C"/>
    <w:rsid w:val="00D866A3"/>
    <w:rsid w:val="00D96257"/>
    <w:rsid w:val="00D96D86"/>
    <w:rsid w:val="00DA2150"/>
    <w:rsid w:val="00DB279C"/>
    <w:rsid w:val="00DC7B3A"/>
    <w:rsid w:val="00DC7C40"/>
    <w:rsid w:val="00DC7D57"/>
    <w:rsid w:val="00DD5DA3"/>
    <w:rsid w:val="00DE01CF"/>
    <w:rsid w:val="00DE5312"/>
    <w:rsid w:val="00DF2497"/>
    <w:rsid w:val="00DF370C"/>
    <w:rsid w:val="00DF4315"/>
    <w:rsid w:val="00E07825"/>
    <w:rsid w:val="00E13140"/>
    <w:rsid w:val="00E17B62"/>
    <w:rsid w:val="00E20F12"/>
    <w:rsid w:val="00E30F62"/>
    <w:rsid w:val="00E32998"/>
    <w:rsid w:val="00E330C2"/>
    <w:rsid w:val="00E35321"/>
    <w:rsid w:val="00E40C75"/>
    <w:rsid w:val="00E453E5"/>
    <w:rsid w:val="00E453FB"/>
    <w:rsid w:val="00E50E89"/>
    <w:rsid w:val="00E53C87"/>
    <w:rsid w:val="00E54D1C"/>
    <w:rsid w:val="00E55CCA"/>
    <w:rsid w:val="00E6197D"/>
    <w:rsid w:val="00E62A88"/>
    <w:rsid w:val="00E63C64"/>
    <w:rsid w:val="00E64C3C"/>
    <w:rsid w:val="00E65EF1"/>
    <w:rsid w:val="00E702CC"/>
    <w:rsid w:val="00E707D8"/>
    <w:rsid w:val="00E72181"/>
    <w:rsid w:val="00E763B2"/>
    <w:rsid w:val="00E77B73"/>
    <w:rsid w:val="00E83D52"/>
    <w:rsid w:val="00E84A5F"/>
    <w:rsid w:val="00E9030F"/>
    <w:rsid w:val="00E906AA"/>
    <w:rsid w:val="00E91153"/>
    <w:rsid w:val="00E9512F"/>
    <w:rsid w:val="00EA0F0B"/>
    <w:rsid w:val="00EA2839"/>
    <w:rsid w:val="00EA4DAC"/>
    <w:rsid w:val="00EB4965"/>
    <w:rsid w:val="00EB4D2B"/>
    <w:rsid w:val="00EB5B38"/>
    <w:rsid w:val="00EC260B"/>
    <w:rsid w:val="00EC6583"/>
    <w:rsid w:val="00ED41A0"/>
    <w:rsid w:val="00EE0E47"/>
    <w:rsid w:val="00EE1C7E"/>
    <w:rsid w:val="00EE504F"/>
    <w:rsid w:val="00EF005E"/>
    <w:rsid w:val="00EF275B"/>
    <w:rsid w:val="00F04092"/>
    <w:rsid w:val="00F047D0"/>
    <w:rsid w:val="00F1428D"/>
    <w:rsid w:val="00F162B1"/>
    <w:rsid w:val="00F17BDC"/>
    <w:rsid w:val="00F205A1"/>
    <w:rsid w:val="00F23CAB"/>
    <w:rsid w:val="00F3019A"/>
    <w:rsid w:val="00F326F0"/>
    <w:rsid w:val="00F3602D"/>
    <w:rsid w:val="00F40187"/>
    <w:rsid w:val="00F44724"/>
    <w:rsid w:val="00F44E21"/>
    <w:rsid w:val="00F456A0"/>
    <w:rsid w:val="00F46E7E"/>
    <w:rsid w:val="00F50D26"/>
    <w:rsid w:val="00F511B7"/>
    <w:rsid w:val="00F66EBA"/>
    <w:rsid w:val="00F710CF"/>
    <w:rsid w:val="00F7214D"/>
    <w:rsid w:val="00F7744C"/>
    <w:rsid w:val="00F961D2"/>
    <w:rsid w:val="00FA25B1"/>
    <w:rsid w:val="00FA2950"/>
    <w:rsid w:val="00FA66C7"/>
    <w:rsid w:val="00FA6E20"/>
    <w:rsid w:val="00FA72BC"/>
    <w:rsid w:val="00FB2469"/>
    <w:rsid w:val="00FB2C97"/>
    <w:rsid w:val="00FC0F4C"/>
    <w:rsid w:val="00FC2400"/>
    <w:rsid w:val="00FC696D"/>
    <w:rsid w:val="00FC6D1A"/>
    <w:rsid w:val="00FC74C3"/>
    <w:rsid w:val="00FE3D31"/>
    <w:rsid w:val="00FF212A"/>
    <w:rsid w:val="00FF6B07"/>
    <w:rsid w:val="17BA8EB4"/>
    <w:rsid w:val="197F060A"/>
    <w:rsid w:val="1F5F7172"/>
    <w:rsid w:val="25DAFD08"/>
    <w:rsid w:val="271E3018"/>
    <w:rsid w:val="28FE12E3"/>
    <w:rsid w:val="29FCD214"/>
    <w:rsid w:val="2EB97679"/>
    <w:rsid w:val="2F9F2ADB"/>
    <w:rsid w:val="2FDF39B3"/>
    <w:rsid w:val="35ADDC21"/>
    <w:rsid w:val="35F3CF05"/>
    <w:rsid w:val="37BF1532"/>
    <w:rsid w:val="37E9BC1B"/>
    <w:rsid w:val="37FF7930"/>
    <w:rsid w:val="39AE1D92"/>
    <w:rsid w:val="3BFBB15D"/>
    <w:rsid w:val="3DAF4F22"/>
    <w:rsid w:val="3DE19BE7"/>
    <w:rsid w:val="3DFDCAD0"/>
    <w:rsid w:val="3DFE1A71"/>
    <w:rsid w:val="3EB50423"/>
    <w:rsid w:val="3EFF5855"/>
    <w:rsid w:val="3F799F0B"/>
    <w:rsid w:val="3FF66F78"/>
    <w:rsid w:val="4BEEAD97"/>
    <w:rsid w:val="4BEF9EE6"/>
    <w:rsid w:val="4DAFF45A"/>
    <w:rsid w:val="4FAF511F"/>
    <w:rsid w:val="4FBC16A0"/>
    <w:rsid w:val="4FF27A41"/>
    <w:rsid w:val="53FAA15A"/>
    <w:rsid w:val="59DDFC36"/>
    <w:rsid w:val="5BBF6E05"/>
    <w:rsid w:val="5BF322C4"/>
    <w:rsid w:val="5C3DF2DD"/>
    <w:rsid w:val="5EBBD29B"/>
    <w:rsid w:val="5EDF9B4B"/>
    <w:rsid w:val="5F5E4D67"/>
    <w:rsid w:val="5FBFFCE5"/>
    <w:rsid w:val="5FEF433D"/>
    <w:rsid w:val="66BCC38C"/>
    <w:rsid w:val="673E3B14"/>
    <w:rsid w:val="67FFBA07"/>
    <w:rsid w:val="6B7EE647"/>
    <w:rsid w:val="6BB5E47D"/>
    <w:rsid w:val="6BFFE568"/>
    <w:rsid w:val="6D67FECE"/>
    <w:rsid w:val="6D6F3916"/>
    <w:rsid w:val="6FC89E6A"/>
    <w:rsid w:val="6FF78C7E"/>
    <w:rsid w:val="6FF79CE2"/>
    <w:rsid w:val="6FFD276C"/>
    <w:rsid w:val="6FFFAD30"/>
    <w:rsid w:val="747EE0AF"/>
    <w:rsid w:val="757995F5"/>
    <w:rsid w:val="76DEDA9D"/>
    <w:rsid w:val="77F62121"/>
    <w:rsid w:val="77FF3D96"/>
    <w:rsid w:val="7A7F0D2C"/>
    <w:rsid w:val="7B7E2CEE"/>
    <w:rsid w:val="7BED8786"/>
    <w:rsid w:val="7CDF426A"/>
    <w:rsid w:val="7CF377C1"/>
    <w:rsid w:val="7D21F639"/>
    <w:rsid w:val="7D5D1803"/>
    <w:rsid w:val="7D6914A5"/>
    <w:rsid w:val="7E59FD60"/>
    <w:rsid w:val="7EFD2671"/>
    <w:rsid w:val="7F1EEF94"/>
    <w:rsid w:val="7F5E86DC"/>
    <w:rsid w:val="7F6FB23F"/>
    <w:rsid w:val="7FB71FC8"/>
    <w:rsid w:val="7FBDDB16"/>
    <w:rsid w:val="7FBFB3EF"/>
    <w:rsid w:val="7FEE558B"/>
    <w:rsid w:val="7FFD4205"/>
    <w:rsid w:val="7FFF7B26"/>
    <w:rsid w:val="7FFFD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F0AC8"/>
  <w15:docId w15:val="{D548EBCA-1BE9-4D15-892D-5C7EC133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US" w:eastAsia="zh-C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pPr>
      <w:ind w:left="2028"/>
    </w:pPr>
    <w:rPr>
      <w:rFonts w:ascii="宋体" w:eastAsia="宋体" w:hAnsi="宋体"/>
      <w:sz w:val="24"/>
      <w:szCs w:val="24"/>
    </w:rPr>
  </w:style>
  <w:style w:type="paragraph" w:styleId="a5">
    <w:name w:val="Balloon Text"/>
    <w:basedOn w:val="a"/>
    <w:link w:val="a6"/>
    <w:uiPriority w:val="99"/>
    <w:semiHidden/>
    <w:unhideWhenUsed/>
    <w:rPr>
      <w:rFonts w:ascii="Microsoft YaHei UI" w:eastAsia="Microsoft YaHei UI"/>
      <w:sz w:val="18"/>
      <w:szCs w:val="18"/>
    </w:rPr>
  </w:style>
  <w:style w:type="paragraph" w:styleId="a7">
    <w:name w:val="footer"/>
    <w:basedOn w:val="a"/>
    <w:link w:val="a8"/>
    <w:uiPriority w:val="99"/>
    <w:unhideWhenUsed/>
    <w:pPr>
      <w:tabs>
        <w:tab w:val="center" w:pos="4153"/>
        <w:tab w:val="right" w:pos="8306"/>
      </w:tabs>
    </w:pPr>
  </w:style>
  <w:style w:type="paragraph" w:styleId="a9">
    <w:name w:val="header"/>
    <w:basedOn w:val="a"/>
    <w:link w:val="aa"/>
    <w:uiPriority w:val="99"/>
    <w:unhideWhenUsed/>
    <w:pPr>
      <w:tabs>
        <w:tab w:val="center" w:pos="4153"/>
        <w:tab w:val="right" w:pos="8306"/>
      </w:tabs>
    </w:pPr>
  </w:style>
  <w:style w:type="paragraph" w:styleId="ab">
    <w:name w:val="Normal (Web)"/>
    <w:basedOn w:val="a"/>
    <w:uiPriority w:val="99"/>
    <w:semiHidden/>
    <w:unhideWhenUsed/>
    <w:qFormat/>
    <w:pPr>
      <w:spacing w:beforeAutospacing="1" w:afterAutospacing="1"/>
    </w:pPr>
    <w:rPr>
      <w:rFonts w:cs="Times New Roman"/>
      <w:sz w:val="24"/>
      <w:lang w:eastAsia="zh-CN"/>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6">
    <w:name w:val="批注框文本 字符"/>
    <w:basedOn w:val="a0"/>
    <w:link w:val="a5"/>
    <w:uiPriority w:val="99"/>
    <w:semiHidden/>
    <w:rPr>
      <w:rFonts w:ascii="Microsoft YaHei UI" w:eastAsia="Microsoft YaHei UI"/>
      <w:kern w:val="0"/>
      <w:sz w:val="18"/>
      <w:szCs w:val="18"/>
      <w:lang w:eastAsia="en-US"/>
    </w:rPr>
  </w:style>
  <w:style w:type="paragraph" w:styleId="ad">
    <w:name w:val="List Paragraph"/>
    <w:basedOn w:val="a"/>
    <w:uiPriority w:val="34"/>
    <w:qFormat/>
    <w:pPr>
      <w:ind w:firstLineChars="200" w:firstLine="420"/>
      <w:jc w:val="both"/>
    </w:pPr>
    <w:rPr>
      <w:kern w:val="2"/>
      <w:sz w:val="21"/>
      <w:lang w:eastAsia="zh-CN"/>
    </w:rPr>
  </w:style>
  <w:style w:type="character" w:customStyle="1" w:styleId="aa">
    <w:name w:val="页眉 字符"/>
    <w:basedOn w:val="a0"/>
    <w:link w:val="a9"/>
    <w:uiPriority w:val="99"/>
    <w:rPr>
      <w:kern w:val="0"/>
      <w:sz w:val="22"/>
      <w:lang w:eastAsia="en-US"/>
    </w:rPr>
  </w:style>
  <w:style w:type="character" w:customStyle="1" w:styleId="a8">
    <w:name w:val="页脚 字符"/>
    <w:basedOn w:val="a0"/>
    <w:link w:val="a7"/>
    <w:uiPriority w:val="99"/>
    <w:rPr>
      <w:kern w:val="0"/>
      <w:sz w:val="22"/>
      <w:lang w:eastAsia="en-US"/>
    </w:rPr>
  </w:style>
  <w:style w:type="paragraph" w:customStyle="1" w:styleId="Default">
    <w:name w:val="Default"/>
    <w:pPr>
      <w:widowControl w:val="0"/>
      <w:autoSpaceDE w:val="0"/>
      <w:autoSpaceDN w:val="0"/>
      <w:adjustRightInd w:val="0"/>
    </w:pPr>
    <w:rPr>
      <w:rFonts w:ascii="黑体" w:eastAsia="黑体" w:hAnsiTheme="minorHAns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鑫海 周</dc:creator>
  <cp:lastModifiedBy>林莉尔</cp:lastModifiedBy>
  <cp:revision>3</cp:revision>
  <dcterms:created xsi:type="dcterms:W3CDTF">2024-11-09T09:25:00Z</dcterms:created>
  <dcterms:modified xsi:type="dcterms:W3CDTF">2024-12-05T09:08:00Z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