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80F2" w14:textId="18807BA2" w:rsidR="007830F2" w:rsidRDefault="00E75A51">
      <w:pPr>
        <w:pStyle w:val="1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证券代码：605287                               </w:t>
      </w:r>
      <w:r w:rsidR="00E70851">
        <w:rPr>
          <w:rFonts w:ascii="宋体" w:eastAsia="宋体" w:hAnsi="宋体" w:cs="宋体"/>
          <w:sz w:val="24"/>
          <w:szCs w:val="24"/>
          <w:lang w:val="en-US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证券简称：德才股份</w:t>
      </w:r>
    </w:p>
    <w:p w14:paraId="013564D0" w14:textId="77777777" w:rsidR="007830F2" w:rsidRDefault="007830F2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8692912" w14:textId="77777777" w:rsidR="007830F2" w:rsidRDefault="00E75A51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德才装饰股份有限公司</w:t>
      </w:r>
    </w:p>
    <w:p w14:paraId="75598981" w14:textId="77777777" w:rsidR="007830F2" w:rsidRDefault="00E75A51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06FD09E3" w14:textId="2FE19B90" w:rsidR="007830F2" w:rsidRDefault="00E75A51">
      <w:pPr>
        <w:spacing w:before="51" w:after="32"/>
        <w:ind w:right="619"/>
        <w:jc w:val="right"/>
        <w:rPr>
          <w:rFonts w:ascii="宋体" w:eastAsia="宋体" w:hAnsi="宋体" w:cs="宋体"/>
          <w:sz w:val="28"/>
          <w:lang w:val="en-US"/>
        </w:rPr>
      </w:pPr>
      <w:r>
        <w:rPr>
          <w:rFonts w:ascii="宋体" w:eastAsia="宋体" w:hAnsi="宋体" w:cs="宋体" w:hint="eastAsia"/>
          <w:sz w:val="28"/>
        </w:rPr>
        <w:t>编号：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862610">
        <w:rPr>
          <w:rFonts w:ascii="宋体" w:eastAsia="宋体" w:hAnsi="宋体" w:cs="宋体" w:hint="eastAsia"/>
          <w:sz w:val="24"/>
          <w:szCs w:val="24"/>
          <w:lang w:val="en-US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0</w:t>
      </w:r>
      <w:r w:rsidR="00862610">
        <w:rPr>
          <w:rFonts w:ascii="宋体" w:eastAsia="宋体" w:hAnsi="宋体" w:cs="宋体" w:hint="eastAsia"/>
          <w:sz w:val="24"/>
          <w:szCs w:val="24"/>
          <w:lang w:val="en-US"/>
        </w:rPr>
        <w:t>0</w:t>
      </w:r>
      <w:r w:rsidR="000E25C7">
        <w:rPr>
          <w:rFonts w:ascii="宋体" w:eastAsia="宋体" w:hAnsi="宋体" w:cs="宋体" w:hint="eastAsia"/>
          <w:sz w:val="24"/>
          <w:szCs w:val="24"/>
          <w:lang w:val="en-US"/>
        </w:rPr>
        <w:t>6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237"/>
      </w:tblGrid>
      <w:tr w:rsidR="007830F2" w14:paraId="72FD88CE" w14:textId="77777777" w:rsidTr="00575A90">
        <w:trPr>
          <w:trHeight w:val="2759"/>
          <w:jc w:val="center"/>
        </w:trPr>
        <w:tc>
          <w:tcPr>
            <w:tcW w:w="2689" w:type="dxa"/>
          </w:tcPr>
          <w:p w14:paraId="3470EBDC" w14:textId="77777777" w:rsidR="007830F2" w:rsidRDefault="007830F2" w:rsidP="00E0618C">
            <w:pPr>
              <w:pStyle w:val="TableParagraph"/>
              <w:spacing w:before="7" w:line="360" w:lineRule="auto"/>
              <w:jc w:val="center"/>
              <w:rPr>
                <w:rFonts w:ascii="宋体" w:eastAsia="宋体" w:hAnsi="宋体" w:cs="宋体"/>
                <w:b/>
                <w:bCs/>
                <w:sz w:val="18"/>
              </w:rPr>
            </w:pPr>
          </w:p>
          <w:p w14:paraId="6B1518B5" w14:textId="77777777" w:rsidR="007830F2" w:rsidRDefault="00E75A51" w:rsidP="00E0618C">
            <w:pPr>
              <w:pStyle w:val="TableParagraph"/>
              <w:spacing w:before="1" w:line="360" w:lineRule="auto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投资者关系活动类别</w:t>
            </w:r>
          </w:p>
        </w:tc>
        <w:tc>
          <w:tcPr>
            <w:tcW w:w="6237" w:type="dxa"/>
          </w:tcPr>
          <w:p w14:paraId="2361C407" w14:textId="77777777" w:rsidR="007830F2" w:rsidRPr="006D19A7" w:rsidRDefault="007830F2" w:rsidP="00E0618C">
            <w:pPr>
              <w:pStyle w:val="TableParagraph"/>
              <w:spacing w:before="7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8AA0626" w14:textId="3D49C534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before="1"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D60153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定</w:t>
            </w:r>
            <w:r w:rsidR="00E75A51" w:rsidRPr="00C34D4A">
              <w:rPr>
                <w:rFonts w:ascii="宋体" w:eastAsia="宋体" w:hAnsi="宋体" w:cs="宋体" w:hint="eastAsia"/>
              </w:rPr>
              <w:t>对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象</w:t>
            </w:r>
            <w:r w:rsidR="00E75A51" w:rsidRPr="00C34D4A">
              <w:rPr>
                <w:rFonts w:ascii="宋体" w:eastAsia="宋体" w:hAnsi="宋体" w:cs="宋体" w:hint="eastAsia"/>
              </w:rPr>
              <w:t>调研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分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析</w:t>
            </w:r>
            <w:r w:rsidR="00E75A51" w:rsidRPr="00C34D4A">
              <w:rPr>
                <w:rFonts w:ascii="宋体" w:eastAsia="宋体" w:hAnsi="宋体" w:cs="宋体" w:hint="eastAsia"/>
              </w:rPr>
              <w:t>师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>议</w:t>
            </w:r>
          </w:p>
          <w:p w14:paraId="2DBAD631" w14:textId="334FB4C9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媒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体</w:t>
            </w:r>
            <w:r w:rsidR="00E75A51" w:rsidRPr="00C34D4A">
              <w:rPr>
                <w:rFonts w:ascii="宋体" w:eastAsia="宋体" w:hAnsi="宋体" w:cs="宋体" w:hint="eastAsia"/>
              </w:rPr>
              <w:t>采访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4588F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业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绩</w:t>
            </w:r>
            <w:r w:rsidR="00E75A51" w:rsidRPr="00C34D4A">
              <w:rPr>
                <w:rFonts w:ascii="宋体" w:eastAsia="宋体" w:hAnsi="宋体" w:cs="宋体" w:hint="eastAsia"/>
              </w:rPr>
              <w:t>说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明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</w:p>
          <w:p w14:paraId="73B7EF56" w14:textId="77777777" w:rsidR="007830F2" w:rsidRPr="00C34D4A" w:rsidRDefault="00000000" w:rsidP="00E0618C">
            <w:pPr>
              <w:pStyle w:val="TableParagraph"/>
              <w:tabs>
                <w:tab w:val="left" w:pos="2418"/>
              </w:tabs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新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闻</w:t>
            </w:r>
            <w:r w:rsidR="00E75A51" w:rsidRPr="00C34D4A">
              <w:rPr>
                <w:rFonts w:ascii="宋体" w:eastAsia="宋体" w:hAnsi="宋体" w:cs="宋体" w:hint="eastAsia"/>
              </w:rPr>
              <w:t>发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布</w:t>
            </w:r>
            <w:r w:rsidR="00E75A51" w:rsidRPr="00C34D4A">
              <w:rPr>
                <w:rFonts w:ascii="宋体" w:eastAsia="宋体" w:hAnsi="宋体" w:cs="宋体" w:hint="eastAsia"/>
              </w:rPr>
              <w:t>会</w:t>
            </w:r>
            <w:r w:rsidR="00E75A51" w:rsidRPr="00C34D4A">
              <w:rPr>
                <w:rFonts w:ascii="宋体" w:eastAsia="宋体" w:hAnsi="宋体" w:cs="宋体" w:hint="eastAsia"/>
              </w:rPr>
              <w:tab/>
            </w:r>
            <w:sdt>
              <w:sdtPr>
                <w:rPr>
                  <w:rFonts w:ascii="宋体" w:eastAsia="宋体" w:hAnsi="宋体" w:cs="宋体" w:hint="eastAsia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75A51" w:rsidRPr="00C34D4A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路</w:t>
            </w:r>
            <w:r w:rsidR="00E75A51" w:rsidRPr="00C34D4A">
              <w:rPr>
                <w:rFonts w:ascii="宋体" w:eastAsia="宋体" w:hAnsi="宋体" w:cs="宋体" w:hint="eastAsia"/>
                <w:spacing w:val="-3"/>
              </w:rPr>
              <w:t>演</w:t>
            </w:r>
            <w:r w:rsidR="00E75A51" w:rsidRPr="00C34D4A">
              <w:rPr>
                <w:rFonts w:ascii="宋体" w:eastAsia="宋体" w:hAnsi="宋体" w:cs="宋体" w:hint="eastAsia"/>
              </w:rPr>
              <w:t>活动</w:t>
            </w:r>
          </w:p>
          <w:p w14:paraId="7265B8C4" w14:textId="1F4CE38A" w:rsidR="007830F2" w:rsidRPr="00C34D4A" w:rsidRDefault="00000000" w:rsidP="00E0618C">
            <w:pPr>
              <w:pStyle w:val="TableParagraph"/>
              <w:spacing w:line="360" w:lineRule="auto"/>
              <w:ind w:left="107"/>
              <w:rPr>
                <w:rFonts w:ascii="宋体" w:eastAsia="宋体" w:hAnsi="宋体" w:cs="宋体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D60153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现场参观</w:t>
            </w:r>
          </w:p>
          <w:p w14:paraId="436E213A" w14:textId="6ACDEB38" w:rsidR="007830F2" w:rsidRPr="00D60153" w:rsidRDefault="00000000" w:rsidP="00E0618C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60153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</w:rPr>
              <w:t>其他（</w:t>
            </w:r>
            <w:proofErr w:type="gramStart"/>
            <w:r w:rsidR="000E25C7" w:rsidRPr="00C34D4A">
              <w:rPr>
                <w:rFonts w:ascii="宋体" w:eastAsia="宋体" w:hAnsi="宋体" w:cs="宋体" w:hint="eastAsia"/>
                <w:u w:val="single"/>
              </w:rPr>
              <w:t>请文字</w:t>
            </w:r>
            <w:proofErr w:type="gramEnd"/>
            <w:r w:rsidR="000E25C7" w:rsidRPr="00C34D4A">
              <w:rPr>
                <w:rFonts w:ascii="宋体" w:eastAsia="宋体" w:hAnsi="宋体" w:cs="宋体" w:hint="eastAsia"/>
                <w:u w:val="single"/>
              </w:rPr>
              <w:t>说明其他活动内容</w:t>
            </w:r>
            <w:r w:rsidR="00D60153">
              <w:rPr>
                <w:rFonts w:ascii="宋体" w:eastAsia="宋体" w:hAnsi="宋体" w:cs="宋体" w:hint="eastAsia"/>
              </w:rPr>
              <w:t>）</w:t>
            </w:r>
          </w:p>
        </w:tc>
      </w:tr>
      <w:tr w:rsidR="007830F2" w14:paraId="3FF36D53" w14:textId="77777777" w:rsidTr="00575A90">
        <w:trPr>
          <w:trHeight w:val="554"/>
          <w:jc w:val="center"/>
        </w:trPr>
        <w:tc>
          <w:tcPr>
            <w:tcW w:w="2689" w:type="dxa"/>
            <w:vAlign w:val="center"/>
          </w:tcPr>
          <w:p w14:paraId="037645C5" w14:textId="77777777" w:rsidR="007830F2" w:rsidRPr="00A3313A" w:rsidRDefault="00E75A51" w:rsidP="00E0618C">
            <w:pPr>
              <w:pStyle w:val="TableParagraph"/>
              <w:spacing w:line="560" w:lineRule="exact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  <w:lang w:val="en-US"/>
              </w:rPr>
            </w:pPr>
            <w:r w:rsidRPr="00A3313A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val="en-US"/>
              </w:rPr>
              <w:t>形式</w:t>
            </w:r>
          </w:p>
        </w:tc>
        <w:tc>
          <w:tcPr>
            <w:tcW w:w="6237" w:type="dxa"/>
          </w:tcPr>
          <w:p w14:paraId="6B5F3EA7" w14:textId="79E0CD57" w:rsidR="007830F2" w:rsidRPr="00A3313A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sdt>
              <w:sdtPr>
                <w:rPr>
                  <w:rFonts w:ascii="宋体" w:eastAsia="宋体" w:hAnsi="宋体" w:cs="宋体" w:hint="eastAsia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A06C84">
                  <w:rPr>
                    <w:rFonts w:ascii="宋体" w:eastAsia="宋体" w:hAnsi="宋体" w:cs="宋体" w:hint="eastAsia"/>
                  </w:rPr>
                  <w:sym w:font="Wingdings 2" w:char="F052"/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现场     </w:t>
            </w:r>
            <w:sdt>
              <w:sdtPr>
                <w:rPr>
                  <w:rFonts w:ascii="宋体" w:eastAsia="宋体" w:hAnsi="宋体" w:cs="宋体" w:hint="eastAsia"/>
                </w:rPr>
                <w:id w:val="-19028964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06C84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 xml:space="preserve">网上    </w:t>
            </w:r>
            <w:sdt>
              <w:sdtPr>
                <w:rPr>
                  <w:rFonts w:ascii="宋体" w:eastAsia="宋体" w:hAnsi="宋体" w:cs="宋体" w:hint="eastAsia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12EB">
                  <w:rPr>
                    <w:rFonts w:ascii="MS Gothic" w:eastAsia="MS Gothic" w:hAnsi="MS Gothic" w:cs="宋体" w:hint="eastAsia"/>
                  </w:rPr>
                  <w:t>☐</w:t>
                </w:r>
              </w:sdtContent>
            </w:sdt>
            <w:r w:rsidR="00E75A51" w:rsidRPr="00C34D4A">
              <w:rPr>
                <w:rFonts w:ascii="宋体" w:eastAsia="宋体" w:hAnsi="宋体" w:cs="宋体" w:hint="eastAsia"/>
                <w:lang w:val="en-US"/>
              </w:rPr>
              <w:t>电话会议</w:t>
            </w:r>
          </w:p>
        </w:tc>
      </w:tr>
      <w:tr w:rsidR="007830F2" w14:paraId="5BD72285" w14:textId="77777777" w:rsidTr="007A3F3F">
        <w:trPr>
          <w:trHeight w:val="838"/>
          <w:jc w:val="center"/>
        </w:trPr>
        <w:tc>
          <w:tcPr>
            <w:tcW w:w="2689" w:type="dxa"/>
            <w:vAlign w:val="center"/>
          </w:tcPr>
          <w:p w14:paraId="78B5EF47" w14:textId="08AF14FF" w:rsidR="007830F2" w:rsidRDefault="00E75A51" w:rsidP="00064743">
            <w:pPr>
              <w:pStyle w:val="TableParagraph"/>
              <w:spacing w:line="560" w:lineRule="exact"/>
              <w:ind w:left="107"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参与单位名称</w:t>
            </w:r>
          </w:p>
        </w:tc>
        <w:tc>
          <w:tcPr>
            <w:tcW w:w="6237" w:type="dxa"/>
            <w:vAlign w:val="center"/>
          </w:tcPr>
          <w:p w14:paraId="76A966BC" w14:textId="10D66C24" w:rsidR="00AC6DDB" w:rsidRPr="00575A90" w:rsidRDefault="00A06C84" w:rsidP="003E5664">
            <w:pPr>
              <w:pStyle w:val="TableParagraph"/>
              <w:spacing w:line="360" w:lineRule="auto"/>
              <w:ind w:firstLineChars="100" w:firstLine="220"/>
              <w:jc w:val="both"/>
              <w:rPr>
                <w:rFonts w:asciiTheme="minorEastAsia" w:eastAsiaTheme="minorEastAsia" w:hAnsiTheme="minorEastAsia" w:cs="宋体"/>
              </w:rPr>
            </w:pPr>
            <w:r w:rsidRPr="00A06C84">
              <w:rPr>
                <w:rFonts w:asciiTheme="minorEastAsia" w:eastAsiaTheme="minorEastAsia" w:hAnsiTheme="minorEastAsia" w:cs="宋体" w:hint="eastAsia"/>
              </w:rPr>
              <w:t>中信证券、财通证券、华安证券、国联证券、华福证券、华泰证券、天风证券、长江证券、信达证券、国海证券、光大证券、东方证券、方正富</w:t>
            </w:r>
            <w:proofErr w:type="gramStart"/>
            <w:r w:rsidRPr="00A06C84">
              <w:rPr>
                <w:rFonts w:asciiTheme="minorEastAsia" w:eastAsiaTheme="minorEastAsia" w:hAnsiTheme="minorEastAsia" w:cs="宋体" w:hint="eastAsia"/>
              </w:rPr>
              <w:t>邦</w:t>
            </w:r>
            <w:proofErr w:type="gramEnd"/>
            <w:r w:rsidRPr="00A06C84">
              <w:rPr>
                <w:rFonts w:asciiTheme="minorEastAsia" w:eastAsiaTheme="minorEastAsia" w:hAnsiTheme="minorEastAsia" w:cs="宋体" w:hint="eastAsia"/>
              </w:rPr>
              <w:t>、怀新投资、证券时报</w:t>
            </w:r>
          </w:p>
        </w:tc>
      </w:tr>
      <w:tr w:rsidR="007830F2" w14:paraId="4D77891B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67543BA1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237" w:type="dxa"/>
            <w:vAlign w:val="center"/>
          </w:tcPr>
          <w:p w14:paraId="25807E3C" w14:textId="2CAADA66" w:rsidR="007830F2" w:rsidRPr="00A06C84" w:rsidRDefault="00A06C84" w:rsidP="008169DE">
            <w:pPr>
              <w:ind w:firstLineChars="100" w:firstLine="220"/>
              <w:rPr>
                <w:rFonts w:ascii="宋体" w:eastAsia="宋体" w:hAnsi="宋体"/>
              </w:rPr>
            </w:pPr>
            <w:r w:rsidRPr="00A06C84">
              <w:rPr>
                <w:rFonts w:ascii="宋体" w:eastAsia="宋体" w:hAnsi="宋体" w:hint="eastAsia"/>
              </w:rPr>
              <w:t>2024年</w:t>
            </w:r>
            <w:r>
              <w:rPr>
                <w:rFonts w:ascii="宋体" w:eastAsia="宋体" w:hAnsi="宋体" w:hint="eastAsia"/>
              </w:rPr>
              <w:t>12</w:t>
            </w:r>
            <w:r w:rsidRPr="00A06C84"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 w:hint="eastAsia"/>
              </w:rPr>
              <w:t>7</w:t>
            </w:r>
            <w:r w:rsidRPr="00A06C84">
              <w:rPr>
                <w:rFonts w:ascii="宋体" w:eastAsia="宋体" w:hAnsi="宋体" w:hint="eastAsia"/>
              </w:rPr>
              <w:t xml:space="preserve">日   </w:t>
            </w:r>
            <w:r w:rsidR="009D0BAA">
              <w:rPr>
                <w:rFonts w:ascii="宋体" w:eastAsia="宋体" w:hAnsi="宋体" w:hint="eastAsia"/>
              </w:rPr>
              <w:t>10</w:t>
            </w:r>
            <w:r w:rsidRPr="00A06C84">
              <w:rPr>
                <w:rFonts w:ascii="宋体" w:eastAsia="宋体" w:hAnsi="宋体" w:hint="eastAsia"/>
              </w:rPr>
              <w:t>:</w:t>
            </w:r>
            <w:r w:rsidR="00872F24">
              <w:rPr>
                <w:rFonts w:ascii="宋体" w:eastAsia="宋体" w:hAnsi="宋体" w:hint="eastAsia"/>
              </w:rPr>
              <w:t>0</w:t>
            </w:r>
            <w:r w:rsidRPr="00A06C84">
              <w:rPr>
                <w:rFonts w:ascii="宋体" w:eastAsia="宋体" w:hAnsi="宋体" w:hint="eastAsia"/>
              </w:rPr>
              <w:t>0-1</w:t>
            </w:r>
            <w:r w:rsidR="00B366F7">
              <w:rPr>
                <w:rFonts w:ascii="宋体" w:eastAsia="宋体" w:hAnsi="宋体" w:hint="eastAsia"/>
              </w:rPr>
              <w:t>2</w:t>
            </w:r>
            <w:r w:rsidRPr="00A06C84">
              <w:rPr>
                <w:rFonts w:ascii="宋体" w:eastAsia="宋体" w:hAnsi="宋体" w:hint="eastAsia"/>
              </w:rPr>
              <w:t>:</w:t>
            </w:r>
            <w:r w:rsidR="009D0BAA">
              <w:rPr>
                <w:rFonts w:ascii="宋体" w:eastAsia="宋体" w:hAnsi="宋体" w:hint="eastAsia"/>
              </w:rPr>
              <w:t>0</w:t>
            </w:r>
            <w:r w:rsidRPr="00A06C84">
              <w:rPr>
                <w:rFonts w:ascii="宋体" w:eastAsia="宋体" w:hAnsi="宋体" w:hint="eastAsia"/>
              </w:rPr>
              <w:t>0</w:t>
            </w:r>
          </w:p>
        </w:tc>
      </w:tr>
      <w:tr w:rsidR="007830F2" w14:paraId="5655D04D" w14:textId="77777777" w:rsidTr="00473F0D">
        <w:trPr>
          <w:trHeight w:val="561"/>
          <w:jc w:val="center"/>
        </w:trPr>
        <w:tc>
          <w:tcPr>
            <w:tcW w:w="2689" w:type="dxa"/>
            <w:vAlign w:val="center"/>
          </w:tcPr>
          <w:p w14:paraId="7DD3AB52" w14:textId="77777777" w:rsidR="007830F2" w:rsidRDefault="00E75A51" w:rsidP="00064743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237" w:type="dxa"/>
            <w:vAlign w:val="center"/>
          </w:tcPr>
          <w:p w14:paraId="3C6052D0" w14:textId="0C77FF16" w:rsidR="007830F2" w:rsidRPr="00C34D4A" w:rsidRDefault="00A06C84" w:rsidP="00371B15">
            <w:pPr>
              <w:pStyle w:val="TableParagraph"/>
              <w:ind w:firstLineChars="100" w:firstLine="220"/>
              <w:rPr>
                <w:rFonts w:asciiTheme="minorEastAsia" w:eastAsiaTheme="minorEastAsia" w:hAnsiTheme="minorEastAsia" w:cs="宋体"/>
              </w:rPr>
            </w:pPr>
            <w:r w:rsidRPr="00A06C84">
              <w:rPr>
                <w:rFonts w:asciiTheme="minorEastAsia" w:eastAsiaTheme="minorEastAsia" w:hAnsiTheme="minorEastAsia" w:cs="宋体" w:hint="eastAsia"/>
              </w:rPr>
              <w:t>山东省青岛市崂山区海尔路1号丁6号楼德才国际设计创意中心1106会议室</w:t>
            </w:r>
          </w:p>
        </w:tc>
      </w:tr>
      <w:tr w:rsidR="007830F2" w14:paraId="7D5B830B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3524F28A" w14:textId="77777777" w:rsidR="007830F2" w:rsidRDefault="00E75A51" w:rsidP="00064743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上市公司接待人员姓名</w:t>
            </w:r>
          </w:p>
        </w:tc>
        <w:tc>
          <w:tcPr>
            <w:tcW w:w="6237" w:type="dxa"/>
            <w:vAlign w:val="center"/>
          </w:tcPr>
          <w:p w14:paraId="310FF86D" w14:textId="0AF8FFD6" w:rsidR="009D0BAA" w:rsidRDefault="003E5664" w:rsidP="00C66D47">
            <w:pPr>
              <w:pStyle w:val="TableParagraph"/>
              <w:spacing w:line="360" w:lineRule="auto"/>
              <w:ind w:firstLineChars="100" w:firstLine="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董事长 叶德才</w:t>
            </w:r>
          </w:p>
          <w:p w14:paraId="1F61F381" w14:textId="44BE136A" w:rsidR="00DA2D67" w:rsidRDefault="00161E78" w:rsidP="00C66D47">
            <w:pPr>
              <w:pStyle w:val="TableParagraph"/>
              <w:spacing w:line="360" w:lineRule="auto"/>
              <w:ind w:firstLineChars="100" w:firstLine="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董事、副总经理、</w:t>
            </w:r>
            <w:r w:rsidR="00E75A51" w:rsidRPr="00064743">
              <w:rPr>
                <w:rFonts w:ascii="宋体" w:eastAsia="宋体" w:hAnsi="宋体" w:cs="宋体"/>
              </w:rPr>
              <w:t>董事会秘书 王文静</w:t>
            </w:r>
          </w:p>
          <w:p w14:paraId="6579666E" w14:textId="392C7E3F" w:rsidR="00A70225" w:rsidRPr="006D19A7" w:rsidRDefault="00862610" w:rsidP="00A70225">
            <w:pPr>
              <w:pStyle w:val="TableParagraph"/>
              <w:spacing w:line="360" w:lineRule="auto"/>
              <w:ind w:firstLineChars="100" w:firstLine="2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财务负责人</w:t>
            </w:r>
            <w:r w:rsidR="00C66D47"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杨翠芬</w:t>
            </w:r>
          </w:p>
        </w:tc>
      </w:tr>
      <w:tr w:rsidR="007830F2" w:rsidRPr="0008682D" w14:paraId="63C80EE9" w14:textId="77777777" w:rsidTr="00473F0D">
        <w:trPr>
          <w:trHeight w:val="841"/>
          <w:jc w:val="center"/>
        </w:trPr>
        <w:tc>
          <w:tcPr>
            <w:tcW w:w="2689" w:type="dxa"/>
            <w:vAlign w:val="center"/>
          </w:tcPr>
          <w:p w14:paraId="3ABF2B37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  <w:p w14:paraId="52E9BE50" w14:textId="77777777" w:rsidR="007830F2" w:rsidRDefault="007830F2" w:rsidP="00064743">
            <w:pPr>
              <w:pStyle w:val="TableParagraph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  <w:p w14:paraId="6C36DB07" w14:textId="77777777" w:rsidR="007830F2" w:rsidRDefault="007830F2" w:rsidP="00064743">
            <w:pPr>
              <w:pStyle w:val="TableParagraph"/>
              <w:spacing w:before="5"/>
              <w:jc w:val="center"/>
              <w:rPr>
                <w:rFonts w:ascii="宋体" w:eastAsia="宋体" w:hAnsi="宋体" w:cs="宋体"/>
                <w:b/>
                <w:bCs/>
              </w:rPr>
            </w:pPr>
          </w:p>
          <w:p w14:paraId="0F7D7ED4" w14:textId="77777777" w:rsidR="007830F2" w:rsidRDefault="00E75A51" w:rsidP="00064743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投资者关系活动主要内容介绍</w:t>
            </w:r>
          </w:p>
        </w:tc>
        <w:tc>
          <w:tcPr>
            <w:tcW w:w="6237" w:type="dxa"/>
          </w:tcPr>
          <w:p w14:paraId="20BA66C8" w14:textId="77777777" w:rsidR="003B52A3" w:rsidRDefault="0035105A" w:rsidP="00E219D7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一、</w:t>
            </w:r>
            <w:r w:rsidRPr="00765AAB">
              <w:rPr>
                <w:rFonts w:ascii="宋体" w:eastAsia="宋体" w:hAnsi="宋体" w:cs="宋体" w:hint="eastAsia"/>
                <w:b/>
                <w:bCs/>
              </w:rPr>
              <w:t>投资者提出的问题及公司回复情况</w:t>
            </w:r>
          </w:p>
          <w:p w14:paraId="433733DE" w14:textId="1230CE4C" w:rsidR="0035105A" w:rsidRPr="0035105A" w:rsidRDefault="0035105A" w:rsidP="00E219D7">
            <w:pPr>
              <w:pStyle w:val="TableParagraph"/>
              <w:spacing w:line="360" w:lineRule="auto"/>
              <w:ind w:firstLineChars="200" w:firstLine="442"/>
              <w:jc w:val="both"/>
              <w:rPr>
                <w:rFonts w:ascii="宋体" w:eastAsia="宋体" w:hAnsi="宋体" w:cs="宋体"/>
                <w:b/>
                <w:bCs/>
              </w:rPr>
            </w:pPr>
            <w:r w:rsidRPr="0035105A">
              <w:rPr>
                <w:rFonts w:ascii="宋体" w:eastAsia="宋体" w:hAnsi="宋体" w:cs="宋体"/>
                <w:b/>
                <w:bCs/>
              </w:rPr>
              <w:t>1、</w:t>
            </w:r>
            <w:r w:rsidRPr="0035105A">
              <w:rPr>
                <w:rFonts w:ascii="宋体" w:eastAsia="宋体" w:hAnsi="宋体" w:cs="宋体"/>
                <w:b/>
                <w:bCs/>
              </w:rPr>
              <w:tab/>
            </w:r>
            <w:r w:rsidR="00862610" w:rsidRPr="00862610">
              <w:rPr>
                <w:rFonts w:ascii="宋体" w:eastAsia="宋体" w:hAnsi="宋体" w:cs="宋体"/>
                <w:b/>
                <w:bCs/>
              </w:rPr>
              <w:t>公司</w:t>
            </w:r>
            <w:r w:rsidR="000E20DA" w:rsidRPr="000E20DA">
              <w:rPr>
                <w:rFonts w:ascii="宋体" w:eastAsia="宋体" w:hAnsi="宋体" w:cs="宋体" w:hint="eastAsia"/>
                <w:b/>
                <w:bCs/>
              </w:rPr>
              <w:t>承接老旧改造的优势，如何实现拓展？</w:t>
            </w:r>
          </w:p>
          <w:p w14:paraId="697EA0DA" w14:textId="0BBA725F" w:rsidR="000E20DA" w:rsidRPr="000E20DA" w:rsidRDefault="0035105A" w:rsidP="00E219D7">
            <w:pPr>
              <w:pStyle w:val="TableParagraph"/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</w:rPr>
            </w:pPr>
            <w:r w:rsidRPr="0035105A">
              <w:rPr>
                <w:rFonts w:ascii="宋体" w:eastAsia="宋体" w:hAnsi="宋体" w:cs="宋体" w:hint="eastAsia"/>
              </w:rPr>
              <w:t>答：</w:t>
            </w:r>
            <w:r w:rsidR="000E20DA" w:rsidRPr="000E20DA">
              <w:rPr>
                <w:rFonts w:ascii="宋体" w:eastAsia="宋体" w:hAnsi="宋体" w:cs="宋体" w:hint="eastAsia"/>
              </w:rPr>
              <w:t>老旧小区改造项目需要承接单位具备建筑行业设计</w:t>
            </w:r>
            <w:proofErr w:type="gramStart"/>
            <w:r w:rsidR="000E20DA" w:rsidRPr="000E20DA">
              <w:rPr>
                <w:rFonts w:ascii="宋体" w:eastAsia="宋体" w:hAnsi="宋体" w:cs="宋体" w:hint="eastAsia"/>
              </w:rPr>
              <w:t>甲级与</w:t>
            </w:r>
            <w:proofErr w:type="gramEnd"/>
            <w:r w:rsidR="000E20DA" w:rsidRPr="000E20DA">
              <w:rPr>
                <w:rFonts w:ascii="宋体" w:eastAsia="宋体" w:hAnsi="宋体" w:cs="宋体" w:hint="eastAsia"/>
              </w:rPr>
              <w:t>建筑工程施工总承包壹级资质，改造内容涉及领域多、施工要求复杂、各方协调难度大。公司拥有包括设计和总承包在内的覆盖老旧小区改造各个领域的</w:t>
            </w:r>
            <w:proofErr w:type="gramStart"/>
            <w:r w:rsidR="000E20DA" w:rsidRPr="000E20DA">
              <w:rPr>
                <w:rFonts w:ascii="宋体" w:eastAsia="宋体" w:hAnsi="宋体" w:cs="宋体" w:hint="eastAsia"/>
              </w:rPr>
              <w:t>全建筑</w:t>
            </w:r>
            <w:proofErr w:type="gramEnd"/>
            <w:r w:rsidR="000E20DA" w:rsidRPr="000E20DA">
              <w:rPr>
                <w:rFonts w:ascii="宋体" w:eastAsia="宋体" w:hAnsi="宋体" w:cs="宋体" w:hint="eastAsia"/>
              </w:rPr>
              <w:t>产业链资质，能够独立承接老旧小区改造项目，这也成为公司区别于同行企业和传统总承包的差异化竞争力。同时，公司</w:t>
            </w:r>
            <w:proofErr w:type="gramStart"/>
            <w:r w:rsidR="000E20DA" w:rsidRPr="000E20DA">
              <w:rPr>
                <w:rFonts w:ascii="宋体" w:eastAsia="宋体" w:hAnsi="宋体" w:cs="宋体" w:hint="eastAsia"/>
              </w:rPr>
              <w:t>全建筑</w:t>
            </w:r>
            <w:proofErr w:type="gramEnd"/>
            <w:r w:rsidR="000E20DA" w:rsidRPr="000E20DA">
              <w:rPr>
                <w:rFonts w:ascii="宋体" w:eastAsia="宋体" w:hAnsi="宋体" w:cs="宋体" w:hint="eastAsia"/>
              </w:rPr>
              <w:t>产业链布局将形成互相赋能，例如古</w:t>
            </w:r>
            <w:r w:rsidR="000E20DA" w:rsidRPr="000E20DA">
              <w:rPr>
                <w:rFonts w:ascii="宋体" w:eastAsia="宋体" w:hAnsi="宋体" w:cs="宋体" w:hint="eastAsia"/>
              </w:rPr>
              <w:lastRenderedPageBreak/>
              <w:t>建资质帮助公司承接涉及历史建筑的老旧小区改造，智能化业务帮助公司将智慧社区理念融入老旧小区改造，将助力公司更好地满足和达到基础类、改善类、提升类等改造内容需求和标准，在老旧小区改造2.0时代中构筑起核心竞争力。</w:t>
            </w:r>
          </w:p>
          <w:p w14:paraId="71DC0035" w14:textId="5536A3DB" w:rsidR="0035105A" w:rsidRDefault="000E20DA" w:rsidP="00E219D7">
            <w:pPr>
              <w:pStyle w:val="TableParagraph"/>
              <w:spacing w:line="360" w:lineRule="auto"/>
              <w:ind w:firstLineChars="200" w:firstLine="440"/>
              <w:jc w:val="both"/>
              <w:rPr>
                <w:rFonts w:ascii="宋体" w:eastAsia="宋体" w:hAnsi="宋体" w:cs="宋体"/>
              </w:rPr>
            </w:pPr>
            <w:r w:rsidRPr="000E20DA">
              <w:rPr>
                <w:rFonts w:ascii="宋体" w:eastAsia="宋体" w:hAnsi="宋体" w:cs="宋体" w:hint="eastAsia"/>
              </w:rPr>
              <w:t>公司老旧小区改造业务主要集中在山东省内，参与过青岛市崂山区、市南区、李沧区、城阳区以及胶州市、莱西市等地区的多个老旧小区改造项目，并在济南地区取得突破，2024年，公司参与了济南市市中区老旧小区改造等项目。未来，公司将充分发挥全国营销网络及营销中心的带动作用，在老旧小区改造领域持续深耕，争取更大的突破</w:t>
            </w:r>
            <w:r w:rsidR="00862610" w:rsidRPr="00862610">
              <w:rPr>
                <w:rFonts w:ascii="宋体" w:eastAsia="宋体" w:hAnsi="宋体" w:cs="宋体" w:hint="eastAsia"/>
              </w:rPr>
              <w:t>。</w:t>
            </w:r>
          </w:p>
          <w:p w14:paraId="339F203F" w14:textId="5D2B6455" w:rsidR="0035105A" w:rsidRPr="003D5C87" w:rsidRDefault="006F21F4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2</w:t>
            </w:r>
            <w:r w:rsidR="00A550FC" w:rsidRPr="00154016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862610" w:rsidRPr="00862610">
              <w:rPr>
                <w:rFonts w:ascii="宋体" w:eastAsia="宋体" w:hAnsi="宋体" w:cs="宋体"/>
                <w:b/>
                <w:bCs/>
                <w:lang w:val="en-US"/>
              </w:rPr>
              <w:t>公司</w:t>
            </w:r>
            <w:r w:rsidR="00B83720" w:rsidRPr="00B83720">
              <w:rPr>
                <w:rFonts w:ascii="宋体" w:eastAsia="宋体" w:hAnsi="宋体" w:cs="宋体" w:hint="eastAsia"/>
                <w:b/>
                <w:bCs/>
                <w:lang w:val="en-US"/>
              </w:rPr>
              <w:t>未来如何开拓省外市场？如何</w:t>
            </w:r>
            <w:r w:rsidR="00B83720">
              <w:rPr>
                <w:rFonts w:ascii="宋体" w:eastAsia="宋体" w:hAnsi="宋体" w:cs="宋体" w:hint="eastAsia"/>
                <w:b/>
                <w:bCs/>
                <w:lang w:val="en-US"/>
              </w:rPr>
              <w:t>在</w:t>
            </w:r>
            <w:r w:rsidR="00B83720" w:rsidRPr="00B83720">
              <w:rPr>
                <w:rFonts w:ascii="宋体" w:eastAsia="宋体" w:hAnsi="宋体" w:cs="宋体" w:hint="eastAsia"/>
                <w:b/>
                <w:bCs/>
                <w:lang w:val="en-US"/>
              </w:rPr>
              <w:t>保证现金流</w:t>
            </w:r>
            <w:r w:rsidR="00B83720">
              <w:rPr>
                <w:rFonts w:ascii="宋体" w:eastAsia="宋体" w:hAnsi="宋体" w:cs="宋体" w:hint="eastAsia"/>
                <w:b/>
                <w:bCs/>
                <w:lang w:val="en-US"/>
              </w:rPr>
              <w:t>的</w:t>
            </w:r>
            <w:r w:rsidR="00B83720" w:rsidRPr="00B83720">
              <w:rPr>
                <w:rFonts w:ascii="宋体" w:eastAsia="宋体" w:hAnsi="宋体" w:cs="宋体" w:hint="eastAsia"/>
                <w:b/>
                <w:bCs/>
                <w:lang w:val="en-US"/>
              </w:rPr>
              <w:t>情况</w:t>
            </w:r>
            <w:r w:rsidR="00B83720">
              <w:rPr>
                <w:rFonts w:ascii="宋体" w:eastAsia="宋体" w:hAnsi="宋体" w:cs="宋体" w:hint="eastAsia"/>
                <w:b/>
                <w:bCs/>
                <w:lang w:val="en-US"/>
              </w:rPr>
              <w:t>下拓展项目</w:t>
            </w:r>
            <w:r w:rsidR="00B83720" w:rsidRPr="00B83720">
              <w:rPr>
                <w:rFonts w:ascii="宋体" w:eastAsia="宋体" w:hAnsi="宋体" w:cs="宋体" w:hint="eastAsia"/>
                <w:b/>
                <w:bCs/>
                <w:lang w:val="en-US"/>
              </w:rPr>
              <w:t>？</w:t>
            </w:r>
          </w:p>
          <w:p w14:paraId="21F02A41" w14:textId="09154B2A" w:rsidR="00B83720" w:rsidRPr="00B83720" w:rsidRDefault="00154016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154016">
              <w:rPr>
                <w:rFonts w:ascii="宋体" w:eastAsia="宋体" w:hAnsi="宋体" w:cs="宋体" w:hint="eastAsia"/>
                <w:lang w:val="en-US"/>
              </w:rPr>
              <w:t>答：</w:t>
            </w:r>
            <w:r w:rsidR="00B83720" w:rsidRPr="00B83720">
              <w:rPr>
                <w:rFonts w:ascii="宋体" w:eastAsia="宋体" w:hAnsi="宋体" w:cs="宋体" w:hint="eastAsia"/>
                <w:lang w:val="en-US"/>
              </w:rPr>
              <w:t>公司在巩固传统省内优势市场的基础上，积极</w:t>
            </w:r>
            <w:proofErr w:type="gramStart"/>
            <w:r w:rsidR="00B83720" w:rsidRPr="00B83720">
              <w:rPr>
                <w:rFonts w:ascii="宋体" w:eastAsia="宋体" w:hAnsi="宋体" w:cs="宋体" w:hint="eastAsia"/>
                <w:lang w:val="en-US"/>
              </w:rPr>
              <w:t>践行</w:t>
            </w:r>
            <w:proofErr w:type="gramEnd"/>
            <w:r w:rsidR="00B83720" w:rsidRPr="00B83720">
              <w:rPr>
                <w:rFonts w:ascii="宋体" w:eastAsia="宋体" w:hAnsi="宋体" w:cs="宋体" w:hint="eastAsia"/>
                <w:lang w:val="en-US"/>
              </w:rPr>
              <w:t>“走出去”战略，将营销重心转移至经济活力强、资金流动性好的一线城市，以北京、上海、深圳、重庆为主要营销中心，覆盖京津冀、长三角、珠三角和成渝全国四大经济圈的营销网络。</w:t>
            </w:r>
          </w:p>
          <w:p w14:paraId="70DF5F09" w14:textId="7202D9AB" w:rsidR="00B83720" w:rsidRDefault="00784DCB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bookmarkStart w:id="0" w:name="_Hlk184646832"/>
            <w:r w:rsidRPr="00784DCB">
              <w:rPr>
                <w:rFonts w:ascii="宋体" w:eastAsia="宋体" w:hAnsi="宋体" w:cs="宋体" w:hint="eastAsia"/>
                <w:lang w:val="en-US"/>
              </w:rPr>
              <w:t>从主营业务收入来看</w:t>
            </w:r>
            <w:bookmarkEnd w:id="0"/>
            <w:r>
              <w:rPr>
                <w:rFonts w:ascii="宋体" w:eastAsia="宋体" w:hAnsi="宋体" w:cs="宋体" w:hint="eastAsia"/>
                <w:lang w:val="en-US"/>
              </w:rPr>
              <w:t>，</w:t>
            </w:r>
            <w:r w:rsidR="00B83720" w:rsidRPr="00B83720">
              <w:rPr>
                <w:rFonts w:ascii="宋体" w:eastAsia="宋体" w:hAnsi="宋体" w:cs="宋体" w:hint="eastAsia"/>
                <w:lang w:val="en-US"/>
              </w:rPr>
              <w:t>公司省外</w:t>
            </w:r>
            <w:r w:rsidR="00374698">
              <w:rPr>
                <w:rFonts w:ascii="宋体" w:eastAsia="宋体" w:hAnsi="宋体" w:cs="宋体" w:hint="eastAsia"/>
                <w:lang w:val="en-US"/>
              </w:rPr>
              <w:t>主营</w:t>
            </w:r>
            <w:r w:rsidR="00B83720" w:rsidRPr="00B83720">
              <w:rPr>
                <w:rFonts w:ascii="宋体" w:eastAsia="宋体" w:hAnsi="宋体" w:cs="宋体" w:hint="eastAsia"/>
                <w:lang w:val="en-US"/>
              </w:rPr>
              <w:t>业务收入占比由2021年的14.38%提升至2023年的18.51%。今年前三季度公司在深圳市场业务取得较大突破，例如深圳宝安空海救援医院（一阶段）装饰工程、深圳理工大学建设工程等项目。未来，公司将围绕高标准、高要求、高品质打造区域标杆项目，形成可复制的模式向省外市场进一步延伸。</w:t>
            </w:r>
          </w:p>
          <w:p w14:paraId="1FF7D83B" w14:textId="3B6F18D0" w:rsidR="00B83720" w:rsidRDefault="00B83720" w:rsidP="00B36953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对于现金流方面，</w:t>
            </w:r>
            <w:r w:rsidRPr="00B83720">
              <w:rPr>
                <w:rFonts w:ascii="宋体" w:eastAsia="宋体" w:hAnsi="宋体" w:cs="宋体" w:hint="eastAsia"/>
                <w:lang w:val="en-US"/>
              </w:rPr>
              <w:t>公司将强化营销订单评审，减少垫资项目的承接。并通过项目精细化管理严控成本，提升项目盈利水平，加强企业自身造血能力</w:t>
            </w:r>
            <w:r w:rsidR="00B36953">
              <w:rPr>
                <w:rFonts w:ascii="宋体" w:eastAsia="宋体" w:hAnsi="宋体" w:cs="宋体" w:hint="eastAsia"/>
                <w:lang w:val="en-US"/>
              </w:rPr>
              <w:t>。</w:t>
            </w:r>
            <w:r w:rsidRPr="00B83720">
              <w:rPr>
                <w:rFonts w:ascii="宋体" w:eastAsia="宋体" w:hAnsi="宋体" w:cs="宋体" w:hint="eastAsia"/>
                <w:lang w:val="en-US"/>
              </w:rPr>
              <w:t>同时将合理决策流动负债金额，实现债务限额与偿债能力相匹配。</w:t>
            </w:r>
            <w:r w:rsidR="00161E78">
              <w:rPr>
                <w:rFonts w:ascii="宋体" w:eastAsia="宋体" w:hAnsi="宋体" w:cs="宋体" w:hint="eastAsia"/>
                <w:lang w:val="en-US"/>
              </w:rPr>
              <w:t>持续</w:t>
            </w:r>
            <w:r w:rsidRPr="00B83720">
              <w:rPr>
                <w:rFonts w:ascii="宋体" w:eastAsia="宋体" w:hAnsi="宋体" w:cs="宋体" w:hint="eastAsia"/>
                <w:lang w:val="en-US"/>
              </w:rPr>
              <w:t>加强项目管理，自主开发项目进度管理系统，对工程进度进行精细化管理，同时通过管理驾驶舱数据对结算进度进行预警，提高结算管理水平，加快回款进度。</w:t>
            </w:r>
          </w:p>
          <w:p w14:paraId="785FF805" w14:textId="0C46FEE4" w:rsidR="00154016" w:rsidRDefault="006F21F4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3</w:t>
            </w:r>
            <w:r w:rsidR="00154016" w:rsidRPr="00154016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43343E">
              <w:rPr>
                <w:rFonts w:ascii="宋体" w:eastAsia="宋体" w:hAnsi="宋体" w:cs="宋体" w:hint="eastAsia"/>
                <w:b/>
                <w:bCs/>
                <w:lang w:val="en-US"/>
              </w:rPr>
              <w:t>公司</w:t>
            </w:r>
            <w:r w:rsidR="0043343E" w:rsidRPr="0043343E">
              <w:rPr>
                <w:rFonts w:ascii="宋体" w:eastAsia="宋体" w:hAnsi="宋体" w:cs="宋体" w:hint="eastAsia"/>
                <w:b/>
                <w:bCs/>
                <w:lang w:val="en-US"/>
              </w:rPr>
              <w:t>目前战略或产品线是否考虑到房地产形势</w:t>
            </w:r>
            <w:r w:rsidR="00D93FA8">
              <w:rPr>
                <w:rFonts w:ascii="宋体" w:eastAsia="宋体" w:hAnsi="宋体" w:cs="宋体" w:hint="eastAsia"/>
                <w:b/>
                <w:bCs/>
                <w:lang w:val="en-US"/>
              </w:rPr>
              <w:t>，并</w:t>
            </w:r>
            <w:r w:rsidR="0043343E" w:rsidRPr="0043343E">
              <w:rPr>
                <w:rFonts w:ascii="宋体" w:eastAsia="宋体" w:hAnsi="宋体" w:cs="宋体" w:hint="eastAsia"/>
                <w:b/>
                <w:bCs/>
                <w:lang w:val="en-US"/>
              </w:rPr>
              <w:t>做</w:t>
            </w:r>
            <w:r w:rsidR="00D93FA8">
              <w:rPr>
                <w:rFonts w:ascii="宋体" w:eastAsia="宋体" w:hAnsi="宋体" w:cs="宋体" w:hint="eastAsia"/>
                <w:b/>
                <w:bCs/>
                <w:lang w:val="en-US"/>
              </w:rPr>
              <w:t>相应</w:t>
            </w:r>
            <w:r w:rsidR="0043343E" w:rsidRPr="0043343E">
              <w:rPr>
                <w:rFonts w:ascii="宋体" w:eastAsia="宋体" w:hAnsi="宋体" w:cs="宋体" w:hint="eastAsia"/>
                <w:b/>
                <w:bCs/>
                <w:lang w:val="en-US"/>
              </w:rPr>
              <w:t>准备？</w:t>
            </w:r>
            <w:r>
              <w:rPr>
                <w:rFonts w:ascii="宋体" w:eastAsia="宋体" w:hAnsi="宋体" w:cs="宋体"/>
                <w:b/>
                <w:bCs/>
                <w:lang w:val="en-US"/>
              </w:rPr>
              <w:t xml:space="preserve"> </w:t>
            </w:r>
          </w:p>
          <w:p w14:paraId="1B0C7039" w14:textId="77AA5D06" w:rsidR="003D061E" w:rsidRPr="003D061E" w:rsidRDefault="00154016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154016">
              <w:rPr>
                <w:rFonts w:ascii="宋体" w:eastAsia="宋体" w:hAnsi="宋体" w:cs="宋体" w:hint="eastAsia"/>
                <w:lang w:val="en-US"/>
              </w:rPr>
              <w:t>答：</w:t>
            </w:r>
            <w:r w:rsidR="00862610" w:rsidRPr="00862610">
              <w:rPr>
                <w:rFonts w:ascii="宋体" w:eastAsia="宋体" w:hAnsi="宋体" w:cs="宋体"/>
                <w:lang w:val="en-US"/>
              </w:rPr>
              <w:t>公司</w:t>
            </w:r>
            <w:r w:rsidR="007455E9">
              <w:rPr>
                <w:rFonts w:ascii="宋体" w:eastAsia="宋体" w:hAnsi="宋体" w:cs="宋体" w:hint="eastAsia"/>
                <w:lang w:val="en-US"/>
              </w:rPr>
              <w:t>正在</w:t>
            </w:r>
            <w:r w:rsidR="003D061E" w:rsidRPr="003D061E">
              <w:rPr>
                <w:rFonts w:ascii="宋体" w:eastAsia="宋体" w:hAnsi="宋体" w:cs="宋体" w:hint="eastAsia"/>
                <w:lang w:val="en-US"/>
              </w:rPr>
              <w:t>加快保障性住房建设、“平急两用”公共基础设施建设、城中村改造</w:t>
            </w:r>
            <w:r w:rsidR="00B36953">
              <w:rPr>
                <w:rFonts w:ascii="宋体" w:eastAsia="宋体" w:hAnsi="宋体" w:cs="宋体" w:hint="eastAsia"/>
                <w:lang w:val="en-US"/>
              </w:rPr>
              <w:t>类项目的推进。</w:t>
            </w:r>
            <w:r w:rsidR="003D061E" w:rsidRPr="003D061E">
              <w:rPr>
                <w:rFonts w:ascii="宋体" w:eastAsia="宋体" w:hAnsi="宋体" w:cs="宋体" w:hint="eastAsia"/>
                <w:lang w:val="en-US"/>
              </w:rPr>
              <w:t>公司将紧抓国家大力推进“三</w:t>
            </w:r>
            <w:r w:rsidR="003D061E" w:rsidRPr="003D061E">
              <w:rPr>
                <w:rFonts w:ascii="宋体" w:eastAsia="宋体" w:hAnsi="宋体" w:cs="宋体" w:hint="eastAsia"/>
                <w:lang w:val="en-US"/>
              </w:rPr>
              <w:lastRenderedPageBreak/>
              <w:t>大工程”建设机遇，积极打造新的利润增长点。</w:t>
            </w:r>
          </w:p>
          <w:p w14:paraId="19D2A127" w14:textId="77777777" w:rsidR="00B36953" w:rsidRDefault="00FF5F80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FF5F80">
              <w:rPr>
                <w:rFonts w:ascii="宋体" w:eastAsia="宋体" w:hAnsi="宋体" w:cs="宋体" w:hint="eastAsia"/>
                <w:lang w:val="en-US"/>
              </w:rPr>
              <w:t>公司基于对行业发展趋势的预判，打造全产业链的竞争优势，同时对业务结构进行战略调整，弱化地产业务</w:t>
            </w:r>
            <w:r w:rsidR="006F21F4">
              <w:rPr>
                <w:rFonts w:ascii="宋体" w:eastAsia="宋体" w:hAnsi="宋体" w:cs="宋体" w:hint="eastAsia"/>
                <w:lang w:val="en-US"/>
              </w:rPr>
              <w:t>，以</w:t>
            </w:r>
            <w:r w:rsidR="003D061E" w:rsidRPr="003D061E">
              <w:rPr>
                <w:rFonts w:ascii="宋体" w:eastAsia="宋体" w:hAnsi="宋体" w:cs="宋体" w:hint="eastAsia"/>
                <w:lang w:val="en-US"/>
              </w:rPr>
              <w:t>“城市更新”与“城市配套”两类业务</w:t>
            </w:r>
            <w:r w:rsidR="006F21F4">
              <w:rPr>
                <w:rFonts w:ascii="宋体" w:eastAsia="宋体" w:hAnsi="宋体" w:cs="宋体" w:hint="eastAsia"/>
                <w:lang w:val="en-US"/>
              </w:rPr>
              <w:t>为核心</w:t>
            </w:r>
            <w:r w:rsidR="003D061E" w:rsidRPr="003D061E">
              <w:rPr>
                <w:rFonts w:ascii="宋体" w:eastAsia="宋体" w:hAnsi="宋体" w:cs="宋体" w:hint="eastAsia"/>
                <w:lang w:val="en-US"/>
              </w:rPr>
              <w:t>，重点聚焦城中村改造、保障性住房建设、公共服务设施（“平急两用”、科教文卫等）等领域。在市场拓展方面，积极</w:t>
            </w:r>
            <w:proofErr w:type="gramStart"/>
            <w:r w:rsidR="003D061E" w:rsidRPr="003D061E">
              <w:rPr>
                <w:rFonts w:ascii="宋体" w:eastAsia="宋体" w:hAnsi="宋体" w:cs="宋体" w:hint="eastAsia"/>
                <w:lang w:val="en-US"/>
              </w:rPr>
              <w:t>践行</w:t>
            </w:r>
            <w:proofErr w:type="gramEnd"/>
            <w:r w:rsidR="003D061E" w:rsidRPr="003D061E">
              <w:rPr>
                <w:rFonts w:ascii="宋体" w:eastAsia="宋体" w:hAnsi="宋体" w:cs="宋体" w:hint="eastAsia"/>
                <w:lang w:val="en-US"/>
              </w:rPr>
              <w:t>“走出去”战略，将营销重心转移至经济活力强、资金流动性好的一线城市，在北京、上海、深圳等地加强布局，抢占市场先机，提升省外市场业务收入占比。同时，紧抓战略新兴产业强势崛起的机遇，重点开拓新兴产业市场与客户。</w:t>
            </w:r>
          </w:p>
          <w:p w14:paraId="12666395" w14:textId="5DBF9561" w:rsidR="00CD2C00" w:rsidRDefault="003D061E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3D061E">
              <w:rPr>
                <w:rFonts w:ascii="宋体" w:eastAsia="宋体" w:hAnsi="宋体" w:cs="宋体" w:hint="eastAsia"/>
                <w:lang w:val="en-US"/>
              </w:rPr>
              <w:t>在业务拓展方面，公司依托</w:t>
            </w:r>
            <w:r w:rsidR="00A5592A">
              <w:rPr>
                <w:rFonts w:ascii="宋体" w:eastAsia="宋体" w:hAnsi="宋体" w:cs="宋体" w:hint="eastAsia"/>
                <w:lang w:val="en-US"/>
              </w:rPr>
              <w:t>全资子公司</w:t>
            </w:r>
            <w:r w:rsidRPr="003D061E">
              <w:rPr>
                <w:rFonts w:ascii="宋体" w:eastAsia="宋体" w:hAnsi="宋体" w:cs="宋体" w:hint="eastAsia"/>
                <w:lang w:val="en-US"/>
              </w:rPr>
              <w:t>德才高科聚焦绿色建造，积极布局智能系统门窗赛道，打造第二增长曲线，并在巩固国内市场基础上</w:t>
            </w:r>
            <w:r w:rsidR="006F21F4">
              <w:rPr>
                <w:rFonts w:ascii="宋体" w:eastAsia="宋体" w:hAnsi="宋体" w:cs="宋体" w:hint="eastAsia"/>
                <w:lang w:val="en-US"/>
              </w:rPr>
              <w:t>尝试拓展</w:t>
            </w:r>
            <w:r w:rsidRPr="003D061E">
              <w:rPr>
                <w:rFonts w:ascii="宋体" w:eastAsia="宋体" w:hAnsi="宋体" w:cs="宋体" w:hint="eastAsia"/>
                <w:lang w:val="en-US"/>
              </w:rPr>
              <w:t>海外市场。</w:t>
            </w:r>
          </w:p>
          <w:p w14:paraId="524B58BC" w14:textId="7D540D27" w:rsidR="00862610" w:rsidRDefault="006F21F4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4</w:t>
            </w:r>
            <w:r w:rsidR="00862610"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BB7776">
              <w:rPr>
                <w:rFonts w:ascii="宋体" w:eastAsia="宋体" w:hAnsi="宋体" w:cs="宋体" w:hint="eastAsia"/>
                <w:b/>
                <w:bCs/>
                <w:lang w:val="en-US"/>
              </w:rPr>
              <w:t>公司在</w:t>
            </w:r>
            <w:r w:rsidR="00BB7776" w:rsidRPr="00BB7776">
              <w:rPr>
                <w:rFonts w:ascii="宋体" w:eastAsia="宋体" w:hAnsi="宋体" w:cs="宋体" w:hint="eastAsia"/>
                <w:b/>
                <w:bCs/>
                <w:lang w:val="en-US"/>
              </w:rPr>
              <w:t>后期</w:t>
            </w:r>
            <w:r w:rsidR="00BB7776">
              <w:rPr>
                <w:rFonts w:ascii="宋体" w:eastAsia="宋体" w:hAnsi="宋体" w:cs="宋体" w:hint="eastAsia"/>
                <w:b/>
                <w:bCs/>
                <w:lang w:val="en-US"/>
              </w:rPr>
              <w:t>针对市值管理</w:t>
            </w:r>
            <w:r w:rsidR="00BB7776" w:rsidRPr="00BB7776">
              <w:rPr>
                <w:rFonts w:ascii="宋体" w:eastAsia="宋体" w:hAnsi="宋体" w:cs="宋体" w:hint="eastAsia"/>
                <w:b/>
                <w:bCs/>
                <w:lang w:val="en-US"/>
              </w:rPr>
              <w:t>会有什么措施？</w:t>
            </w:r>
          </w:p>
          <w:p w14:paraId="367EDD95" w14:textId="61D66089" w:rsidR="00B366F7" w:rsidRDefault="00862610" w:rsidP="00B366F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B366F7">
              <w:rPr>
                <w:rFonts w:ascii="宋体" w:eastAsia="宋体" w:hAnsi="宋体" w:cs="宋体" w:hint="eastAsia"/>
                <w:lang w:val="en-US"/>
              </w:rPr>
              <w:t>答：</w:t>
            </w:r>
            <w:r w:rsidR="00B366F7" w:rsidRPr="002D2648">
              <w:rPr>
                <w:rFonts w:ascii="宋体" w:eastAsia="宋体" w:hAnsi="宋体" w:cs="宋体" w:hint="eastAsia"/>
              </w:rPr>
              <w:t>公司高度重视市值管理工作，致力于为股东创造价值。一方面，公司通过持续提升产品市场竞争力与经营效率，持续增强主营业务盈利能力，同时，加强技术投入与产品研发，激发人才创新活力，助</w:t>
            </w:r>
            <w:proofErr w:type="gramStart"/>
            <w:r w:rsidR="00B366F7" w:rsidRPr="002D2648">
              <w:rPr>
                <w:rFonts w:ascii="宋体" w:eastAsia="宋体" w:hAnsi="宋体" w:cs="宋体" w:hint="eastAsia"/>
              </w:rPr>
              <w:t>推业绩</w:t>
            </w:r>
            <w:proofErr w:type="gramEnd"/>
            <w:r w:rsidR="00B366F7" w:rsidRPr="002D2648">
              <w:rPr>
                <w:rFonts w:ascii="宋体" w:eastAsia="宋体" w:hAnsi="宋体" w:cs="宋体" w:hint="eastAsia"/>
              </w:rPr>
              <w:t>增长。另一方面，公司积极落实“提质增效重回报”行动方案，通过回购股份等措施推进公司股价与内在价值相匹配，增强投资者对公司长期价值的认可和投资信心。此外，公司严格执行股东分红回报规划及利润分配政策积极回报投资者，通过及时、准确、完整地披露财务状况、经营成果等信息，减少信息不对称性，提升投资者关系管理水平，强化价值传递能力。</w:t>
            </w:r>
          </w:p>
          <w:p w14:paraId="626FE829" w14:textId="636D4BED" w:rsidR="00862610" w:rsidRPr="00862610" w:rsidRDefault="006F21F4" w:rsidP="00CF28BD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b/>
                <w:b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5</w:t>
            </w:r>
            <w:r w:rsidR="00862610" w:rsidRPr="00862610">
              <w:rPr>
                <w:rFonts w:ascii="宋体" w:eastAsia="宋体" w:hAnsi="宋体" w:cs="宋体" w:hint="eastAsia"/>
                <w:b/>
                <w:bCs/>
                <w:lang w:val="en-US"/>
              </w:rPr>
              <w:t>、</w:t>
            </w:r>
            <w:r w:rsidR="0018506C">
              <w:rPr>
                <w:rFonts w:ascii="宋体" w:eastAsia="宋体" w:hAnsi="宋体" w:cs="宋体" w:hint="eastAsia"/>
                <w:b/>
                <w:bCs/>
                <w:lang w:val="en-US"/>
              </w:rPr>
              <w:t>公司</w:t>
            </w:r>
            <w:r w:rsidR="0018506C" w:rsidRPr="0018506C">
              <w:rPr>
                <w:rFonts w:ascii="宋体" w:eastAsia="宋体" w:hAnsi="宋体" w:cs="宋体" w:hint="eastAsia"/>
                <w:b/>
                <w:bCs/>
                <w:lang w:val="en-US"/>
              </w:rPr>
              <w:t>围绕城市更新改造</w:t>
            </w:r>
            <w:r w:rsidR="00B36953">
              <w:rPr>
                <w:rFonts w:ascii="宋体" w:eastAsia="宋体" w:hAnsi="宋体" w:cs="宋体" w:hint="eastAsia"/>
                <w:b/>
                <w:bCs/>
                <w:lang w:val="en-US"/>
              </w:rPr>
              <w:t>业务，主要</w:t>
            </w:r>
            <w:r w:rsidR="0018506C" w:rsidRPr="0018506C">
              <w:rPr>
                <w:rFonts w:ascii="宋体" w:eastAsia="宋体" w:hAnsi="宋体" w:cs="宋体" w:hint="eastAsia"/>
                <w:b/>
                <w:bCs/>
                <w:lang w:val="en-US"/>
              </w:rPr>
              <w:t>聚焦哪些方面？</w:t>
            </w:r>
            <w:r w:rsidR="0018506C">
              <w:rPr>
                <w:rFonts w:ascii="宋体" w:eastAsia="宋体" w:hAnsi="宋体" w:cs="宋体" w:hint="eastAsia"/>
                <w:b/>
                <w:bCs/>
                <w:lang w:val="en-US"/>
              </w:rPr>
              <w:t>公司</w:t>
            </w:r>
            <w:r w:rsidR="0018506C" w:rsidRPr="0018506C">
              <w:rPr>
                <w:rFonts w:ascii="宋体" w:eastAsia="宋体" w:hAnsi="宋体" w:cs="宋体" w:hint="eastAsia"/>
                <w:b/>
                <w:bCs/>
                <w:lang w:val="en-US"/>
              </w:rPr>
              <w:t>系统门窗</w:t>
            </w:r>
            <w:r>
              <w:rPr>
                <w:rFonts w:ascii="宋体" w:eastAsia="宋体" w:hAnsi="宋体" w:cs="宋体" w:hint="eastAsia"/>
                <w:b/>
                <w:bCs/>
                <w:lang w:val="en-US"/>
              </w:rPr>
              <w:t>业务目前进展如何</w:t>
            </w:r>
            <w:r w:rsidR="0018506C" w:rsidRPr="0018506C">
              <w:rPr>
                <w:rFonts w:ascii="宋体" w:eastAsia="宋体" w:hAnsi="宋体" w:cs="宋体" w:hint="eastAsia"/>
                <w:b/>
                <w:bCs/>
                <w:lang w:val="en-US"/>
              </w:rPr>
              <w:t>？</w:t>
            </w:r>
            <w:r w:rsidRPr="00862610">
              <w:rPr>
                <w:rFonts w:ascii="宋体" w:eastAsia="宋体" w:hAnsi="宋体" w:cs="宋体"/>
                <w:b/>
                <w:bCs/>
                <w:lang w:val="en-US"/>
              </w:rPr>
              <w:t xml:space="preserve"> </w:t>
            </w:r>
          </w:p>
          <w:p w14:paraId="485410F6" w14:textId="0416803E" w:rsidR="00A1371C" w:rsidRPr="00A1371C" w:rsidRDefault="00862610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>
              <w:rPr>
                <w:rFonts w:ascii="宋体" w:eastAsia="宋体" w:hAnsi="宋体" w:cs="宋体" w:hint="eastAsia"/>
                <w:lang w:val="en-US"/>
              </w:rPr>
              <w:t>答：</w:t>
            </w:r>
            <w:proofErr w:type="gramStart"/>
            <w:r w:rsidR="00A1371C" w:rsidRPr="00A1371C">
              <w:rPr>
                <w:rFonts w:ascii="宋体" w:eastAsia="宋体" w:hAnsi="宋体" w:cs="宋体" w:hint="eastAsia"/>
                <w:lang w:val="en-US"/>
              </w:rPr>
              <w:t>据住房</w:t>
            </w:r>
            <w:proofErr w:type="gramEnd"/>
            <w:r w:rsidR="00A1371C" w:rsidRPr="00A1371C">
              <w:rPr>
                <w:rFonts w:ascii="宋体" w:eastAsia="宋体" w:hAnsi="宋体" w:cs="宋体" w:hint="eastAsia"/>
                <w:lang w:val="en-US"/>
              </w:rPr>
              <w:t>和城乡建设部2024年7月公布数据，全国目前已实施城市更新项目超过6.6万个，完成投资2.6</w:t>
            </w:r>
            <w:proofErr w:type="gramStart"/>
            <w:r w:rsidR="00A1371C" w:rsidRPr="00A1371C">
              <w:rPr>
                <w:rFonts w:ascii="宋体" w:eastAsia="宋体" w:hAnsi="宋体" w:cs="宋体" w:hint="eastAsia"/>
                <w:lang w:val="en-US"/>
              </w:rPr>
              <w:t>万亿</w:t>
            </w:r>
            <w:proofErr w:type="gramEnd"/>
            <w:r w:rsidR="00A1371C" w:rsidRPr="00A1371C">
              <w:rPr>
                <w:rFonts w:ascii="宋体" w:eastAsia="宋体" w:hAnsi="宋体" w:cs="宋体" w:hint="eastAsia"/>
                <w:lang w:val="en-US"/>
              </w:rPr>
              <w:t>元，城市更新行动实施带来的综合性成效正在逐步显现。青岛自2022年开展城市更新和城市建设三年攻坚行动以来，聚焦历史城区保护更新、低效片区开发、交通基础设施建设等十个重点领域，累计实施项目数量多，投资金额大。2024年老旧小区改造涉及老旧小区433个。随着我国新增实施100万套城中村改造和危旧房改造、城中村改造政策支持范围扩大到近300个地级及以上城市等增量政策出台，未来城</w:t>
            </w:r>
            <w:r w:rsidR="00A1371C" w:rsidRPr="00A1371C">
              <w:rPr>
                <w:rFonts w:ascii="宋体" w:eastAsia="宋体" w:hAnsi="宋体" w:cs="宋体" w:hint="eastAsia"/>
                <w:lang w:val="en-US"/>
              </w:rPr>
              <w:lastRenderedPageBreak/>
              <w:t>市更新进程有望进一步加快。</w:t>
            </w:r>
          </w:p>
          <w:p w14:paraId="5AC33096" w14:textId="6CF8E8CF" w:rsidR="00A1371C" w:rsidRDefault="00A1371C" w:rsidP="00E219D7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A1371C">
              <w:rPr>
                <w:rFonts w:ascii="宋体" w:eastAsia="宋体" w:hAnsi="宋体" w:cs="宋体" w:hint="eastAsia"/>
                <w:lang w:val="en-US"/>
              </w:rPr>
              <w:t>公司近几年不断延续业务结构战略调整，弱化地产业务，持续深耕“城市更新”与“城市配套”两类项目。城市更新类主要聚焦旧改、历史风貌建筑保护修缮、城中村改造与保障性住房建设等；“城市配套”类项目聚焦市政基础设施、公共交通基础设施与公共服务设施等。2024年前三季度，公司新签“城市更新”类项目金额约为17.74亿元，新签“城市配套”类项目金额约为12.41亿元，两类项目约占</w:t>
            </w:r>
            <w:r w:rsidR="005564B4">
              <w:rPr>
                <w:rFonts w:ascii="宋体" w:eastAsia="宋体" w:hAnsi="宋体" w:cs="宋体" w:hint="eastAsia"/>
                <w:lang w:val="en-US"/>
              </w:rPr>
              <w:t>2024年</w:t>
            </w:r>
            <w:r w:rsidRPr="00A1371C">
              <w:rPr>
                <w:rFonts w:ascii="宋体" w:eastAsia="宋体" w:hAnsi="宋体" w:cs="宋体" w:hint="eastAsia"/>
                <w:lang w:val="en-US"/>
              </w:rPr>
              <w:t>前三季度累计新签项目总金额</w:t>
            </w:r>
            <w:r w:rsidR="005564B4">
              <w:rPr>
                <w:rFonts w:ascii="宋体" w:eastAsia="宋体" w:hAnsi="宋体" w:cs="宋体" w:hint="eastAsia"/>
                <w:lang w:val="en-US"/>
              </w:rPr>
              <w:t>的</w:t>
            </w:r>
            <w:r w:rsidRPr="00A1371C">
              <w:rPr>
                <w:rFonts w:ascii="宋体" w:eastAsia="宋体" w:hAnsi="宋体" w:cs="宋体" w:hint="eastAsia"/>
                <w:lang w:val="en-US"/>
              </w:rPr>
              <w:t>82.17%。</w:t>
            </w:r>
          </w:p>
          <w:p w14:paraId="5C77320D" w14:textId="70BA567F" w:rsidR="00862610" w:rsidRPr="00862610" w:rsidRDefault="00B366F7" w:rsidP="006F21F4">
            <w:pPr>
              <w:pStyle w:val="TableParagraph"/>
              <w:spacing w:line="360" w:lineRule="auto"/>
              <w:ind w:firstLine="450"/>
              <w:jc w:val="both"/>
              <w:rPr>
                <w:rFonts w:ascii="宋体" w:eastAsia="宋体" w:hAnsi="宋体" w:cs="宋体"/>
                <w:lang w:val="en-US"/>
              </w:rPr>
            </w:pPr>
            <w:r w:rsidRPr="002D2648">
              <w:rPr>
                <w:rFonts w:ascii="宋体" w:eastAsia="宋体" w:hAnsi="宋体" w:cs="宋体" w:hint="eastAsia"/>
              </w:rPr>
              <w:t>公司全资子公司德才高科聚焦绿色建造，积极布局智能系统门窗赛道，以科技创新为引领，持续推动技术革新与产品迭代升级。目前德才高</w:t>
            </w:r>
            <w:proofErr w:type="gramStart"/>
            <w:r w:rsidRPr="002D2648">
              <w:rPr>
                <w:rFonts w:ascii="宋体" w:eastAsia="宋体" w:hAnsi="宋体" w:cs="宋体" w:hint="eastAsia"/>
              </w:rPr>
              <w:t>科形成</w:t>
            </w:r>
            <w:proofErr w:type="gramEnd"/>
            <w:r w:rsidRPr="002D2648">
              <w:rPr>
                <w:rFonts w:ascii="宋体" w:eastAsia="宋体" w:hAnsi="宋体" w:cs="宋体" w:hint="eastAsia"/>
              </w:rPr>
              <w:t>以天枢系列的</w:t>
            </w:r>
            <w:r w:rsidRPr="002D2648">
              <w:rPr>
                <w:rFonts w:ascii="宋体" w:eastAsia="宋体" w:hAnsi="宋体" w:cs="宋体"/>
              </w:rPr>
              <w:t>4款B端产品，和以天璇、天枢、天玑、瑶光系列的12款C</w:t>
            </w:r>
            <w:proofErr w:type="gramStart"/>
            <w:r w:rsidRPr="002D2648">
              <w:rPr>
                <w:rFonts w:ascii="宋体" w:eastAsia="宋体" w:hAnsi="宋体" w:cs="宋体"/>
              </w:rPr>
              <w:t>端产品</w:t>
            </w:r>
            <w:proofErr w:type="gramEnd"/>
            <w:r w:rsidRPr="002D2648">
              <w:rPr>
                <w:rFonts w:ascii="宋体" w:eastAsia="宋体" w:hAnsi="宋体" w:cs="宋体"/>
              </w:rPr>
              <w:t>所组成的丰富产品矩阵。德才高科将绿色低碳理念融入产品研发，精选优质五金型材和密封型材，</w:t>
            </w:r>
            <w:proofErr w:type="gramStart"/>
            <w:r w:rsidRPr="002D2648">
              <w:rPr>
                <w:rFonts w:ascii="宋体" w:eastAsia="宋体" w:hAnsi="宋体" w:cs="宋体"/>
              </w:rPr>
              <w:t>打造整窗密缝</w:t>
            </w:r>
            <w:proofErr w:type="gramEnd"/>
            <w:r w:rsidRPr="002D2648">
              <w:rPr>
                <w:rFonts w:ascii="宋体" w:eastAsia="宋体" w:hAnsi="宋体" w:cs="宋体"/>
              </w:rPr>
              <w:t>拼接、</w:t>
            </w:r>
            <w:proofErr w:type="gramStart"/>
            <w:r w:rsidRPr="002D2648">
              <w:rPr>
                <w:rFonts w:ascii="宋体" w:eastAsia="宋体" w:hAnsi="宋体" w:cs="宋体"/>
              </w:rPr>
              <w:t>整窗环绕</w:t>
            </w:r>
            <w:proofErr w:type="gramEnd"/>
            <w:r w:rsidRPr="002D2648">
              <w:rPr>
                <w:rFonts w:ascii="宋体" w:eastAsia="宋体" w:hAnsi="宋体" w:cs="宋体"/>
              </w:rPr>
              <w:t>多道密封、</w:t>
            </w:r>
            <w:proofErr w:type="gramStart"/>
            <w:r w:rsidRPr="002D2648">
              <w:rPr>
                <w:rFonts w:ascii="宋体" w:eastAsia="宋体" w:hAnsi="宋体" w:cs="宋体"/>
              </w:rPr>
              <w:t>整窗气密</w:t>
            </w:r>
            <w:proofErr w:type="gramEnd"/>
            <w:r w:rsidRPr="002D2648">
              <w:rPr>
                <w:rFonts w:ascii="宋体" w:eastAsia="宋体" w:hAnsi="宋体" w:cs="宋体"/>
              </w:rPr>
              <w:t>隔热保温结构，搭配断桥系统设计，提高门窗保温隔热性能，助力打造低碳环保生活。同时，德才高</w:t>
            </w:r>
            <w:proofErr w:type="gramStart"/>
            <w:r w:rsidRPr="002D2648">
              <w:rPr>
                <w:rFonts w:ascii="宋体" w:eastAsia="宋体" w:hAnsi="宋体" w:cs="宋体"/>
              </w:rPr>
              <w:t>科持续</w:t>
            </w:r>
            <w:proofErr w:type="gramEnd"/>
            <w:r w:rsidRPr="002D2648">
              <w:rPr>
                <w:rFonts w:ascii="宋体" w:eastAsia="宋体" w:hAnsi="宋体" w:cs="宋体"/>
              </w:rPr>
              <w:t>推进ToB+ToC双轮驱动发展战略。B端依托地产战略合作和供应商合伙</w:t>
            </w:r>
            <w:r w:rsidRPr="002D2648">
              <w:rPr>
                <w:rFonts w:ascii="宋体" w:eastAsia="宋体" w:hAnsi="宋体" w:cs="宋体" w:hint="eastAsia"/>
              </w:rPr>
              <w:t>人模式，与海尔、保利、华润等知名企业实现战略合作；</w:t>
            </w:r>
            <w:r w:rsidRPr="002D2648">
              <w:rPr>
                <w:rFonts w:ascii="宋体" w:eastAsia="宋体" w:hAnsi="宋体" w:cs="宋体"/>
              </w:rPr>
              <w:t>C端通过代理经销模式、线上线下融合模式，将拓展线上各平台流量分配给各区域经销商，通过高品质、强品牌、全链路全面赋能经销商共同拓展市场。</w:t>
            </w:r>
          </w:p>
        </w:tc>
      </w:tr>
      <w:tr w:rsidR="00862610" w14:paraId="16BDAB2C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50990F73" w14:textId="77777777" w:rsidR="00862610" w:rsidRPr="00196DEB" w:rsidRDefault="00862610" w:rsidP="0086261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196DEB">
              <w:rPr>
                <w:rFonts w:ascii="宋体" w:eastAsia="宋体" w:hAnsi="宋体" w:cs="宋体" w:hint="eastAsia"/>
                <w:b/>
                <w:bCs/>
                <w:sz w:val="21"/>
              </w:rPr>
              <w:lastRenderedPageBreak/>
              <w:t>关于本次活动是否涉及应</w:t>
            </w:r>
          </w:p>
          <w:p w14:paraId="2A00A0DC" w14:textId="1AF2A0BF" w:rsidR="00862610" w:rsidRDefault="00862610" w:rsidP="0086261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196DEB">
              <w:rPr>
                <w:rFonts w:ascii="宋体" w:eastAsia="宋体" w:hAnsi="宋体" w:cs="宋体" w:hint="eastAsia"/>
                <w:b/>
                <w:bCs/>
                <w:sz w:val="21"/>
              </w:rPr>
              <w:t>披露重大信息的说明</w:t>
            </w:r>
          </w:p>
        </w:tc>
        <w:tc>
          <w:tcPr>
            <w:tcW w:w="6237" w:type="dxa"/>
            <w:vAlign w:val="center"/>
          </w:tcPr>
          <w:p w14:paraId="7527E65E" w14:textId="690D7D6D" w:rsidR="00862610" w:rsidRPr="008674EF" w:rsidRDefault="00862610" w:rsidP="00862610">
            <w:pPr>
              <w:pStyle w:val="TableParagraph"/>
              <w:ind w:firstLineChars="100" w:firstLine="220"/>
              <w:rPr>
                <w:rFonts w:ascii="宋体" w:eastAsia="宋体" w:hAnsi="宋体" w:cs="宋体"/>
              </w:rPr>
            </w:pPr>
            <w:r w:rsidRPr="00196DEB">
              <w:rPr>
                <w:rFonts w:ascii="宋体" w:eastAsia="宋体" w:hAnsi="宋体" w:cs="宋体" w:hint="eastAsia"/>
              </w:rPr>
              <w:t>本次活动不涉及未公开披露的重大信息。</w:t>
            </w:r>
          </w:p>
        </w:tc>
      </w:tr>
      <w:tr w:rsidR="00862610" w14:paraId="7CD70E81" w14:textId="77777777" w:rsidTr="00473F0D">
        <w:trPr>
          <w:trHeight w:val="558"/>
          <w:jc w:val="center"/>
        </w:trPr>
        <w:tc>
          <w:tcPr>
            <w:tcW w:w="2689" w:type="dxa"/>
            <w:vAlign w:val="center"/>
          </w:tcPr>
          <w:p w14:paraId="0EF9F530" w14:textId="77777777" w:rsidR="00862610" w:rsidRDefault="00862610" w:rsidP="0086261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日期</w:t>
            </w:r>
          </w:p>
        </w:tc>
        <w:tc>
          <w:tcPr>
            <w:tcW w:w="6237" w:type="dxa"/>
            <w:vAlign w:val="center"/>
          </w:tcPr>
          <w:p w14:paraId="263FE8EA" w14:textId="1C9D0BD2" w:rsidR="00862610" w:rsidRPr="008674EF" w:rsidRDefault="00862610" w:rsidP="00862610">
            <w:pPr>
              <w:pStyle w:val="TableParagraph"/>
              <w:ind w:firstLineChars="100" w:firstLine="220"/>
              <w:rPr>
                <w:rFonts w:ascii="宋体" w:eastAsia="宋体" w:hAnsi="宋体" w:cs="宋体"/>
              </w:rPr>
            </w:pPr>
            <w:r w:rsidRPr="008674EF">
              <w:rPr>
                <w:rFonts w:ascii="宋体" w:eastAsia="宋体" w:hAnsi="宋体" w:cs="宋体"/>
              </w:rPr>
              <w:t>202</w:t>
            </w:r>
            <w:r>
              <w:rPr>
                <w:rFonts w:ascii="宋体" w:eastAsia="宋体" w:hAnsi="宋体" w:cs="宋体" w:hint="eastAsia"/>
              </w:rPr>
              <w:t>4</w:t>
            </w:r>
            <w:r w:rsidRPr="008674EF">
              <w:rPr>
                <w:rFonts w:ascii="宋体" w:eastAsia="宋体" w:hAnsi="宋体" w:cs="宋体"/>
              </w:rPr>
              <w:t>年</w:t>
            </w:r>
            <w:r>
              <w:rPr>
                <w:rFonts w:ascii="宋体" w:eastAsia="宋体" w:hAnsi="宋体" w:cs="宋体"/>
              </w:rPr>
              <w:t>1</w:t>
            </w:r>
            <w:r w:rsidR="002928B2">
              <w:rPr>
                <w:rFonts w:ascii="宋体" w:eastAsia="宋体" w:hAnsi="宋体" w:cs="宋体" w:hint="eastAsia"/>
              </w:rPr>
              <w:t>2</w:t>
            </w:r>
            <w:r w:rsidRPr="008674EF">
              <w:rPr>
                <w:rFonts w:ascii="宋体" w:eastAsia="宋体" w:hAnsi="宋体" w:cs="宋体"/>
              </w:rPr>
              <w:t>月</w:t>
            </w:r>
            <w:r w:rsidR="002928B2">
              <w:rPr>
                <w:rFonts w:ascii="宋体" w:eastAsia="宋体" w:hAnsi="宋体" w:cs="宋体" w:hint="eastAsia"/>
              </w:rPr>
              <w:t>7</w:t>
            </w:r>
            <w:r w:rsidRPr="008674EF">
              <w:rPr>
                <w:rFonts w:ascii="宋体" w:eastAsia="宋体" w:hAnsi="宋体" w:cs="宋体"/>
              </w:rPr>
              <w:t>日</w:t>
            </w:r>
          </w:p>
        </w:tc>
      </w:tr>
    </w:tbl>
    <w:p w14:paraId="61545F3A" w14:textId="77777777" w:rsidR="007830F2" w:rsidRDefault="007830F2">
      <w:pPr>
        <w:rPr>
          <w:rFonts w:ascii="宋体" w:eastAsia="宋体" w:hAnsi="宋体" w:cs="宋体"/>
          <w:sz w:val="28"/>
          <w:szCs w:val="36"/>
        </w:rPr>
      </w:pPr>
    </w:p>
    <w:sectPr w:rsidR="007830F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BF664" w14:textId="77777777" w:rsidR="002C2E8B" w:rsidRDefault="002C2E8B" w:rsidP="00213986">
      <w:r>
        <w:separator/>
      </w:r>
    </w:p>
  </w:endnote>
  <w:endnote w:type="continuationSeparator" w:id="0">
    <w:p w14:paraId="13D58FF6" w14:textId="77777777" w:rsidR="002C2E8B" w:rsidRDefault="002C2E8B" w:rsidP="0021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4DD97" w14:textId="77777777" w:rsidR="002C2E8B" w:rsidRDefault="002C2E8B" w:rsidP="00213986">
      <w:r>
        <w:separator/>
      </w:r>
    </w:p>
  </w:footnote>
  <w:footnote w:type="continuationSeparator" w:id="0">
    <w:p w14:paraId="33B73009" w14:textId="77777777" w:rsidR="002C2E8B" w:rsidRDefault="002C2E8B" w:rsidP="0021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14CD5"/>
    <w:multiLevelType w:val="hybridMultilevel"/>
    <w:tmpl w:val="B6568326"/>
    <w:lvl w:ilvl="0" w:tplc="601C92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036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32"/>
    <w:rsid w:val="00004950"/>
    <w:rsid w:val="0001227D"/>
    <w:rsid w:val="00017247"/>
    <w:rsid w:val="00025AFD"/>
    <w:rsid w:val="00026CC3"/>
    <w:rsid w:val="0003042F"/>
    <w:rsid w:val="0003235B"/>
    <w:rsid w:val="00036089"/>
    <w:rsid w:val="000436D2"/>
    <w:rsid w:val="000523ED"/>
    <w:rsid w:val="00053CFA"/>
    <w:rsid w:val="000633EC"/>
    <w:rsid w:val="00063405"/>
    <w:rsid w:val="00063804"/>
    <w:rsid w:val="00064743"/>
    <w:rsid w:val="000665A2"/>
    <w:rsid w:val="00071FA9"/>
    <w:rsid w:val="000736BB"/>
    <w:rsid w:val="0007425C"/>
    <w:rsid w:val="00074B33"/>
    <w:rsid w:val="00074F58"/>
    <w:rsid w:val="00081616"/>
    <w:rsid w:val="00081C9E"/>
    <w:rsid w:val="00083B14"/>
    <w:rsid w:val="00084ADB"/>
    <w:rsid w:val="0008682D"/>
    <w:rsid w:val="000877AB"/>
    <w:rsid w:val="00090E05"/>
    <w:rsid w:val="000978D1"/>
    <w:rsid w:val="000A33C2"/>
    <w:rsid w:val="000A6ADF"/>
    <w:rsid w:val="000A6DEA"/>
    <w:rsid w:val="000A6F98"/>
    <w:rsid w:val="000B7C08"/>
    <w:rsid w:val="000C08DC"/>
    <w:rsid w:val="000C2FE3"/>
    <w:rsid w:val="000C3F25"/>
    <w:rsid w:val="000C3F3D"/>
    <w:rsid w:val="000C7273"/>
    <w:rsid w:val="000D12CF"/>
    <w:rsid w:val="000D2D88"/>
    <w:rsid w:val="000D4EE3"/>
    <w:rsid w:val="000D6669"/>
    <w:rsid w:val="000E20DA"/>
    <w:rsid w:val="000E25C7"/>
    <w:rsid w:val="000E4B20"/>
    <w:rsid w:val="000E5B69"/>
    <w:rsid w:val="000E7FB7"/>
    <w:rsid w:val="000F084E"/>
    <w:rsid w:val="00100DF5"/>
    <w:rsid w:val="0011418F"/>
    <w:rsid w:val="00120241"/>
    <w:rsid w:val="00121A3F"/>
    <w:rsid w:val="00154016"/>
    <w:rsid w:val="00160957"/>
    <w:rsid w:val="00161B07"/>
    <w:rsid w:val="00161E78"/>
    <w:rsid w:val="00162053"/>
    <w:rsid w:val="00162806"/>
    <w:rsid w:val="00172C24"/>
    <w:rsid w:val="001753FA"/>
    <w:rsid w:val="001759EB"/>
    <w:rsid w:val="00175F9F"/>
    <w:rsid w:val="00177C10"/>
    <w:rsid w:val="00181EB2"/>
    <w:rsid w:val="0018506C"/>
    <w:rsid w:val="00186393"/>
    <w:rsid w:val="001863FF"/>
    <w:rsid w:val="00195964"/>
    <w:rsid w:val="00197F48"/>
    <w:rsid w:val="001B2B65"/>
    <w:rsid w:val="001D0F2D"/>
    <w:rsid w:val="001E0074"/>
    <w:rsid w:val="001E0CF3"/>
    <w:rsid w:val="001E59D1"/>
    <w:rsid w:val="001E5EA4"/>
    <w:rsid w:val="001F1407"/>
    <w:rsid w:val="001F22ED"/>
    <w:rsid w:val="002016B4"/>
    <w:rsid w:val="00202E2B"/>
    <w:rsid w:val="002042A7"/>
    <w:rsid w:val="00205911"/>
    <w:rsid w:val="002062CC"/>
    <w:rsid w:val="00213986"/>
    <w:rsid w:val="002146AD"/>
    <w:rsid w:val="002146C6"/>
    <w:rsid w:val="002165A9"/>
    <w:rsid w:val="0024588F"/>
    <w:rsid w:val="00246BB4"/>
    <w:rsid w:val="00274828"/>
    <w:rsid w:val="00275C69"/>
    <w:rsid w:val="00275C6F"/>
    <w:rsid w:val="00275CB6"/>
    <w:rsid w:val="002800B5"/>
    <w:rsid w:val="002877E6"/>
    <w:rsid w:val="00291CF9"/>
    <w:rsid w:val="002928B2"/>
    <w:rsid w:val="00294B68"/>
    <w:rsid w:val="00295B29"/>
    <w:rsid w:val="002B4C0F"/>
    <w:rsid w:val="002B5405"/>
    <w:rsid w:val="002C2E8B"/>
    <w:rsid w:val="002D1B6E"/>
    <w:rsid w:val="002D264A"/>
    <w:rsid w:val="002D4073"/>
    <w:rsid w:val="002E0B12"/>
    <w:rsid w:val="002E3358"/>
    <w:rsid w:val="002E3C80"/>
    <w:rsid w:val="002E5716"/>
    <w:rsid w:val="002E6045"/>
    <w:rsid w:val="002E6731"/>
    <w:rsid w:val="002E7098"/>
    <w:rsid w:val="00300673"/>
    <w:rsid w:val="00301D32"/>
    <w:rsid w:val="00315661"/>
    <w:rsid w:val="00317255"/>
    <w:rsid w:val="00321B12"/>
    <w:rsid w:val="0033641E"/>
    <w:rsid w:val="00337DF1"/>
    <w:rsid w:val="003423D3"/>
    <w:rsid w:val="0035105A"/>
    <w:rsid w:val="00352E18"/>
    <w:rsid w:val="00366FAD"/>
    <w:rsid w:val="0037088B"/>
    <w:rsid w:val="0037105B"/>
    <w:rsid w:val="00371B15"/>
    <w:rsid w:val="00373B52"/>
    <w:rsid w:val="00374698"/>
    <w:rsid w:val="003859D0"/>
    <w:rsid w:val="003975BA"/>
    <w:rsid w:val="003A3F91"/>
    <w:rsid w:val="003A74E6"/>
    <w:rsid w:val="003B108E"/>
    <w:rsid w:val="003B5151"/>
    <w:rsid w:val="003B52A3"/>
    <w:rsid w:val="003B73DD"/>
    <w:rsid w:val="003C0763"/>
    <w:rsid w:val="003D011C"/>
    <w:rsid w:val="003D061E"/>
    <w:rsid w:val="003D5C87"/>
    <w:rsid w:val="003D5E29"/>
    <w:rsid w:val="003D6E76"/>
    <w:rsid w:val="003E1235"/>
    <w:rsid w:val="003E5664"/>
    <w:rsid w:val="003F1098"/>
    <w:rsid w:val="003F4A45"/>
    <w:rsid w:val="003F7E27"/>
    <w:rsid w:val="00402197"/>
    <w:rsid w:val="004046A7"/>
    <w:rsid w:val="004108C7"/>
    <w:rsid w:val="00412DC2"/>
    <w:rsid w:val="0042233C"/>
    <w:rsid w:val="00427815"/>
    <w:rsid w:val="004303DF"/>
    <w:rsid w:val="0043343E"/>
    <w:rsid w:val="00440041"/>
    <w:rsid w:val="0044175A"/>
    <w:rsid w:val="00445CCB"/>
    <w:rsid w:val="00451268"/>
    <w:rsid w:val="004515AD"/>
    <w:rsid w:val="00451857"/>
    <w:rsid w:val="00453516"/>
    <w:rsid w:val="00457548"/>
    <w:rsid w:val="00461D17"/>
    <w:rsid w:val="00464DF1"/>
    <w:rsid w:val="00470DB2"/>
    <w:rsid w:val="00473F0D"/>
    <w:rsid w:val="00477813"/>
    <w:rsid w:val="00487289"/>
    <w:rsid w:val="004925E7"/>
    <w:rsid w:val="00495B11"/>
    <w:rsid w:val="004A03E8"/>
    <w:rsid w:val="004A67E9"/>
    <w:rsid w:val="004B587E"/>
    <w:rsid w:val="004C32C4"/>
    <w:rsid w:val="004C7213"/>
    <w:rsid w:val="004D4384"/>
    <w:rsid w:val="004E0B4A"/>
    <w:rsid w:val="004E65FA"/>
    <w:rsid w:val="004F460B"/>
    <w:rsid w:val="004F602A"/>
    <w:rsid w:val="004F602D"/>
    <w:rsid w:val="004F6883"/>
    <w:rsid w:val="004F6FF3"/>
    <w:rsid w:val="00504D4D"/>
    <w:rsid w:val="00506D02"/>
    <w:rsid w:val="00532D75"/>
    <w:rsid w:val="005354B8"/>
    <w:rsid w:val="00541635"/>
    <w:rsid w:val="005417C0"/>
    <w:rsid w:val="005525F6"/>
    <w:rsid w:val="00552B19"/>
    <w:rsid w:val="005564B4"/>
    <w:rsid w:val="00571B49"/>
    <w:rsid w:val="0057384A"/>
    <w:rsid w:val="005743AE"/>
    <w:rsid w:val="00574650"/>
    <w:rsid w:val="00575A90"/>
    <w:rsid w:val="00581944"/>
    <w:rsid w:val="00594DFF"/>
    <w:rsid w:val="00594E94"/>
    <w:rsid w:val="005A32DD"/>
    <w:rsid w:val="005A66EF"/>
    <w:rsid w:val="005A731A"/>
    <w:rsid w:val="005B7062"/>
    <w:rsid w:val="005C6BE5"/>
    <w:rsid w:val="005D64CA"/>
    <w:rsid w:val="005E340C"/>
    <w:rsid w:val="005E5717"/>
    <w:rsid w:val="005E6DB2"/>
    <w:rsid w:val="005F21C5"/>
    <w:rsid w:val="005F2DFE"/>
    <w:rsid w:val="005F587F"/>
    <w:rsid w:val="006074EC"/>
    <w:rsid w:val="0061433E"/>
    <w:rsid w:val="00616944"/>
    <w:rsid w:val="0062377A"/>
    <w:rsid w:val="00623A1E"/>
    <w:rsid w:val="0062751D"/>
    <w:rsid w:val="00634CE5"/>
    <w:rsid w:val="006354AA"/>
    <w:rsid w:val="00642A98"/>
    <w:rsid w:val="0066157F"/>
    <w:rsid w:val="00661AFA"/>
    <w:rsid w:val="00672383"/>
    <w:rsid w:val="006726BF"/>
    <w:rsid w:val="00677B77"/>
    <w:rsid w:val="0068301A"/>
    <w:rsid w:val="00685366"/>
    <w:rsid w:val="0068718A"/>
    <w:rsid w:val="00694C21"/>
    <w:rsid w:val="006A0698"/>
    <w:rsid w:val="006A2739"/>
    <w:rsid w:val="006B5C95"/>
    <w:rsid w:val="006B7D2A"/>
    <w:rsid w:val="006C4F06"/>
    <w:rsid w:val="006D19A7"/>
    <w:rsid w:val="006E14B0"/>
    <w:rsid w:val="006E6176"/>
    <w:rsid w:val="006F0108"/>
    <w:rsid w:val="006F21F4"/>
    <w:rsid w:val="006F7C40"/>
    <w:rsid w:val="006F7DAC"/>
    <w:rsid w:val="00704AE6"/>
    <w:rsid w:val="00705C32"/>
    <w:rsid w:val="00706B99"/>
    <w:rsid w:val="0071492F"/>
    <w:rsid w:val="007153A2"/>
    <w:rsid w:val="00720B21"/>
    <w:rsid w:val="00724A68"/>
    <w:rsid w:val="007271BF"/>
    <w:rsid w:val="00730DD3"/>
    <w:rsid w:val="00733224"/>
    <w:rsid w:val="00741A85"/>
    <w:rsid w:val="00742D6D"/>
    <w:rsid w:val="007455E9"/>
    <w:rsid w:val="007525A1"/>
    <w:rsid w:val="00761A19"/>
    <w:rsid w:val="00764128"/>
    <w:rsid w:val="00765AAB"/>
    <w:rsid w:val="00771D9A"/>
    <w:rsid w:val="00781593"/>
    <w:rsid w:val="007824B8"/>
    <w:rsid w:val="007830F2"/>
    <w:rsid w:val="00784DCB"/>
    <w:rsid w:val="007910DD"/>
    <w:rsid w:val="00793864"/>
    <w:rsid w:val="007A3BDF"/>
    <w:rsid w:val="007A3EC1"/>
    <w:rsid w:val="007A3F3F"/>
    <w:rsid w:val="007A71BF"/>
    <w:rsid w:val="007B3368"/>
    <w:rsid w:val="007C419F"/>
    <w:rsid w:val="007C44F5"/>
    <w:rsid w:val="007C4823"/>
    <w:rsid w:val="007C5D08"/>
    <w:rsid w:val="007D0A69"/>
    <w:rsid w:val="007D22F5"/>
    <w:rsid w:val="007D6DC4"/>
    <w:rsid w:val="007F535A"/>
    <w:rsid w:val="00800C64"/>
    <w:rsid w:val="00802CE6"/>
    <w:rsid w:val="00815FDF"/>
    <w:rsid w:val="008169DE"/>
    <w:rsid w:val="00825C02"/>
    <w:rsid w:val="008264A9"/>
    <w:rsid w:val="0083053A"/>
    <w:rsid w:val="00833664"/>
    <w:rsid w:val="008468B2"/>
    <w:rsid w:val="00853463"/>
    <w:rsid w:val="00862610"/>
    <w:rsid w:val="008674EF"/>
    <w:rsid w:val="00872F24"/>
    <w:rsid w:val="008730F3"/>
    <w:rsid w:val="008737FF"/>
    <w:rsid w:val="00875FF3"/>
    <w:rsid w:val="00880CE6"/>
    <w:rsid w:val="00893F25"/>
    <w:rsid w:val="00895035"/>
    <w:rsid w:val="008A02D2"/>
    <w:rsid w:val="008A1862"/>
    <w:rsid w:val="008B2B14"/>
    <w:rsid w:val="008B3942"/>
    <w:rsid w:val="008B4AC6"/>
    <w:rsid w:val="008C197D"/>
    <w:rsid w:val="008C35B2"/>
    <w:rsid w:val="008C6AED"/>
    <w:rsid w:val="008C7604"/>
    <w:rsid w:val="008E1B27"/>
    <w:rsid w:val="008E2EDE"/>
    <w:rsid w:val="008F0275"/>
    <w:rsid w:val="008F261F"/>
    <w:rsid w:val="008F487D"/>
    <w:rsid w:val="00903379"/>
    <w:rsid w:val="009046D2"/>
    <w:rsid w:val="00905E0A"/>
    <w:rsid w:val="00906975"/>
    <w:rsid w:val="00906E86"/>
    <w:rsid w:val="00911188"/>
    <w:rsid w:val="00917F0B"/>
    <w:rsid w:val="00917F8B"/>
    <w:rsid w:val="0092095C"/>
    <w:rsid w:val="00923C8C"/>
    <w:rsid w:val="00923F5D"/>
    <w:rsid w:val="0092508F"/>
    <w:rsid w:val="009259D4"/>
    <w:rsid w:val="00930930"/>
    <w:rsid w:val="00960964"/>
    <w:rsid w:val="00965E4D"/>
    <w:rsid w:val="00983400"/>
    <w:rsid w:val="00992A5C"/>
    <w:rsid w:val="0099602E"/>
    <w:rsid w:val="009A35F8"/>
    <w:rsid w:val="009A768E"/>
    <w:rsid w:val="009B1D5C"/>
    <w:rsid w:val="009B3474"/>
    <w:rsid w:val="009B6DCD"/>
    <w:rsid w:val="009B701F"/>
    <w:rsid w:val="009C2E31"/>
    <w:rsid w:val="009C50C8"/>
    <w:rsid w:val="009C69AA"/>
    <w:rsid w:val="009D0BAA"/>
    <w:rsid w:val="009D5784"/>
    <w:rsid w:val="009E1955"/>
    <w:rsid w:val="009F34DE"/>
    <w:rsid w:val="009F4642"/>
    <w:rsid w:val="009F4F60"/>
    <w:rsid w:val="009F633E"/>
    <w:rsid w:val="009F6FCC"/>
    <w:rsid w:val="00A0246A"/>
    <w:rsid w:val="00A03BAD"/>
    <w:rsid w:val="00A04F0B"/>
    <w:rsid w:val="00A06C84"/>
    <w:rsid w:val="00A07759"/>
    <w:rsid w:val="00A1371C"/>
    <w:rsid w:val="00A273A0"/>
    <w:rsid w:val="00A3313A"/>
    <w:rsid w:val="00A33A35"/>
    <w:rsid w:val="00A4002E"/>
    <w:rsid w:val="00A527AA"/>
    <w:rsid w:val="00A550FC"/>
    <w:rsid w:val="00A5592A"/>
    <w:rsid w:val="00A5684D"/>
    <w:rsid w:val="00A571CF"/>
    <w:rsid w:val="00A628A5"/>
    <w:rsid w:val="00A63094"/>
    <w:rsid w:val="00A651B8"/>
    <w:rsid w:val="00A70225"/>
    <w:rsid w:val="00A75C61"/>
    <w:rsid w:val="00A84126"/>
    <w:rsid w:val="00A90531"/>
    <w:rsid w:val="00A92749"/>
    <w:rsid w:val="00A95995"/>
    <w:rsid w:val="00A9601B"/>
    <w:rsid w:val="00A970AA"/>
    <w:rsid w:val="00A9725B"/>
    <w:rsid w:val="00AB0097"/>
    <w:rsid w:val="00AB2A25"/>
    <w:rsid w:val="00AB437C"/>
    <w:rsid w:val="00AC0B1E"/>
    <w:rsid w:val="00AC6DDB"/>
    <w:rsid w:val="00AD100E"/>
    <w:rsid w:val="00AD644C"/>
    <w:rsid w:val="00AD7F2D"/>
    <w:rsid w:val="00AE1E36"/>
    <w:rsid w:val="00AE607E"/>
    <w:rsid w:val="00AF74AA"/>
    <w:rsid w:val="00B00428"/>
    <w:rsid w:val="00B00BEA"/>
    <w:rsid w:val="00B03C2F"/>
    <w:rsid w:val="00B129CE"/>
    <w:rsid w:val="00B13242"/>
    <w:rsid w:val="00B146BA"/>
    <w:rsid w:val="00B14817"/>
    <w:rsid w:val="00B15064"/>
    <w:rsid w:val="00B16512"/>
    <w:rsid w:val="00B167F1"/>
    <w:rsid w:val="00B16EAF"/>
    <w:rsid w:val="00B21F93"/>
    <w:rsid w:val="00B2507D"/>
    <w:rsid w:val="00B340A3"/>
    <w:rsid w:val="00B366F7"/>
    <w:rsid w:val="00B36953"/>
    <w:rsid w:val="00B410F5"/>
    <w:rsid w:val="00B42199"/>
    <w:rsid w:val="00B56FDC"/>
    <w:rsid w:val="00B6280C"/>
    <w:rsid w:val="00B671A4"/>
    <w:rsid w:val="00B72CD4"/>
    <w:rsid w:val="00B83720"/>
    <w:rsid w:val="00B85B00"/>
    <w:rsid w:val="00B96BFC"/>
    <w:rsid w:val="00BB0152"/>
    <w:rsid w:val="00BB7776"/>
    <w:rsid w:val="00BC02BD"/>
    <w:rsid w:val="00BC738D"/>
    <w:rsid w:val="00BD56D2"/>
    <w:rsid w:val="00BF132F"/>
    <w:rsid w:val="00BF2312"/>
    <w:rsid w:val="00BF2588"/>
    <w:rsid w:val="00BF4F37"/>
    <w:rsid w:val="00BF68ED"/>
    <w:rsid w:val="00C003A0"/>
    <w:rsid w:val="00C13878"/>
    <w:rsid w:val="00C140CD"/>
    <w:rsid w:val="00C17E8F"/>
    <w:rsid w:val="00C22D5A"/>
    <w:rsid w:val="00C239D6"/>
    <w:rsid w:val="00C317DC"/>
    <w:rsid w:val="00C34D4A"/>
    <w:rsid w:val="00C36518"/>
    <w:rsid w:val="00C57705"/>
    <w:rsid w:val="00C63963"/>
    <w:rsid w:val="00C640FA"/>
    <w:rsid w:val="00C66980"/>
    <w:rsid w:val="00C66D47"/>
    <w:rsid w:val="00C70305"/>
    <w:rsid w:val="00C76318"/>
    <w:rsid w:val="00C812FD"/>
    <w:rsid w:val="00C82D9D"/>
    <w:rsid w:val="00C85CCC"/>
    <w:rsid w:val="00C91824"/>
    <w:rsid w:val="00CA1705"/>
    <w:rsid w:val="00CB3481"/>
    <w:rsid w:val="00CB38D0"/>
    <w:rsid w:val="00CC5164"/>
    <w:rsid w:val="00CD2C00"/>
    <w:rsid w:val="00CD5CB6"/>
    <w:rsid w:val="00CD6EAB"/>
    <w:rsid w:val="00CE098F"/>
    <w:rsid w:val="00CE1A54"/>
    <w:rsid w:val="00CE2A0F"/>
    <w:rsid w:val="00CE324C"/>
    <w:rsid w:val="00CE7F3D"/>
    <w:rsid w:val="00CF28BD"/>
    <w:rsid w:val="00CF5FB6"/>
    <w:rsid w:val="00D00919"/>
    <w:rsid w:val="00D02518"/>
    <w:rsid w:val="00D17454"/>
    <w:rsid w:val="00D242FB"/>
    <w:rsid w:val="00D268CC"/>
    <w:rsid w:val="00D310ED"/>
    <w:rsid w:val="00D3184E"/>
    <w:rsid w:val="00D33FBC"/>
    <w:rsid w:val="00D365ED"/>
    <w:rsid w:val="00D44B71"/>
    <w:rsid w:val="00D474A2"/>
    <w:rsid w:val="00D54155"/>
    <w:rsid w:val="00D5596B"/>
    <w:rsid w:val="00D60153"/>
    <w:rsid w:val="00D607EF"/>
    <w:rsid w:val="00D60ED2"/>
    <w:rsid w:val="00D61F46"/>
    <w:rsid w:val="00D62B5E"/>
    <w:rsid w:val="00D665DE"/>
    <w:rsid w:val="00D672DE"/>
    <w:rsid w:val="00D7535C"/>
    <w:rsid w:val="00D76302"/>
    <w:rsid w:val="00D9028F"/>
    <w:rsid w:val="00D91E19"/>
    <w:rsid w:val="00D93FA8"/>
    <w:rsid w:val="00DA2BC7"/>
    <w:rsid w:val="00DA2D67"/>
    <w:rsid w:val="00DA5CE2"/>
    <w:rsid w:val="00DB148C"/>
    <w:rsid w:val="00DC4072"/>
    <w:rsid w:val="00DC4C13"/>
    <w:rsid w:val="00DC784A"/>
    <w:rsid w:val="00DD1C02"/>
    <w:rsid w:val="00DD219A"/>
    <w:rsid w:val="00DE0F9C"/>
    <w:rsid w:val="00DE10E8"/>
    <w:rsid w:val="00DE4B85"/>
    <w:rsid w:val="00DE4CE9"/>
    <w:rsid w:val="00DF4F99"/>
    <w:rsid w:val="00E0618C"/>
    <w:rsid w:val="00E0632D"/>
    <w:rsid w:val="00E16FDA"/>
    <w:rsid w:val="00E212EB"/>
    <w:rsid w:val="00E21499"/>
    <w:rsid w:val="00E219D7"/>
    <w:rsid w:val="00E338B4"/>
    <w:rsid w:val="00E352FD"/>
    <w:rsid w:val="00E35F58"/>
    <w:rsid w:val="00E400A3"/>
    <w:rsid w:val="00E426B8"/>
    <w:rsid w:val="00E43D3F"/>
    <w:rsid w:val="00E4587D"/>
    <w:rsid w:val="00E45BD9"/>
    <w:rsid w:val="00E5341B"/>
    <w:rsid w:val="00E53D70"/>
    <w:rsid w:val="00E55C03"/>
    <w:rsid w:val="00E5756B"/>
    <w:rsid w:val="00E66FFC"/>
    <w:rsid w:val="00E70851"/>
    <w:rsid w:val="00E70FF3"/>
    <w:rsid w:val="00E759D6"/>
    <w:rsid w:val="00E75A51"/>
    <w:rsid w:val="00E76C91"/>
    <w:rsid w:val="00E8186E"/>
    <w:rsid w:val="00E84A8C"/>
    <w:rsid w:val="00E914D2"/>
    <w:rsid w:val="00E94D0A"/>
    <w:rsid w:val="00E976DE"/>
    <w:rsid w:val="00EA3149"/>
    <w:rsid w:val="00EA7C09"/>
    <w:rsid w:val="00EC0F83"/>
    <w:rsid w:val="00EC3309"/>
    <w:rsid w:val="00EC5959"/>
    <w:rsid w:val="00ED7884"/>
    <w:rsid w:val="00EE3187"/>
    <w:rsid w:val="00EF499B"/>
    <w:rsid w:val="00F0179D"/>
    <w:rsid w:val="00F14977"/>
    <w:rsid w:val="00F33350"/>
    <w:rsid w:val="00F33F18"/>
    <w:rsid w:val="00F34A3B"/>
    <w:rsid w:val="00F35E10"/>
    <w:rsid w:val="00F4375C"/>
    <w:rsid w:val="00F44798"/>
    <w:rsid w:val="00F75D80"/>
    <w:rsid w:val="00F83BD3"/>
    <w:rsid w:val="00F92AE6"/>
    <w:rsid w:val="00FA389F"/>
    <w:rsid w:val="00FB4A08"/>
    <w:rsid w:val="00FB5F81"/>
    <w:rsid w:val="00FC0C2A"/>
    <w:rsid w:val="00FC2EA2"/>
    <w:rsid w:val="00FD0FB0"/>
    <w:rsid w:val="00FD213C"/>
    <w:rsid w:val="00FD7F8E"/>
    <w:rsid w:val="00FE317D"/>
    <w:rsid w:val="00FF11E4"/>
    <w:rsid w:val="00FF5F80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A32AFB"/>
    <w:rsid w:val="15DD2205"/>
    <w:rsid w:val="17A67110"/>
    <w:rsid w:val="1864189B"/>
    <w:rsid w:val="18D73A7D"/>
    <w:rsid w:val="19557370"/>
    <w:rsid w:val="1BD06B6A"/>
    <w:rsid w:val="1F782BDE"/>
    <w:rsid w:val="23317869"/>
    <w:rsid w:val="24E6317E"/>
    <w:rsid w:val="25650CAE"/>
    <w:rsid w:val="26406598"/>
    <w:rsid w:val="27FE07F7"/>
    <w:rsid w:val="28080056"/>
    <w:rsid w:val="28734C1A"/>
    <w:rsid w:val="28C72DDD"/>
    <w:rsid w:val="29EE0E64"/>
    <w:rsid w:val="2EF90F16"/>
    <w:rsid w:val="2F125C63"/>
    <w:rsid w:val="302C3D0A"/>
    <w:rsid w:val="33DE31BB"/>
    <w:rsid w:val="389C49C0"/>
    <w:rsid w:val="39BC78F4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A666D76"/>
    <w:rsid w:val="5B2253C2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72446028"/>
    <w:rsid w:val="73076EC0"/>
    <w:rsid w:val="74210CA6"/>
    <w:rsid w:val="788C25F5"/>
    <w:rsid w:val="79F72AA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B9922"/>
  <w15:docId w15:val="{D16D923A-8970-4BC6-BFCE-A1355323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E70851"/>
    <w:rPr>
      <w:rFonts w:ascii="仿宋" w:eastAsia="仿宋" w:hAnsi="仿宋" w:cs="仿宋"/>
      <w:sz w:val="22"/>
      <w:szCs w:val="22"/>
      <w:lang w:val="zh-CN" w:bidi="zh-CN"/>
    </w:rPr>
  </w:style>
  <w:style w:type="paragraph" w:styleId="af0">
    <w:name w:val="List Paragraph"/>
    <w:basedOn w:val="a"/>
    <w:uiPriority w:val="34"/>
    <w:qFormat/>
    <w:rsid w:val="0035105A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FFFFFF"/>
                <w:bottom w:val="none" w:sz="0" w:space="0" w:color="auto"/>
                <w:right w:val="none" w:sz="0" w:space="0" w:color="auto"/>
              </w:divBdr>
              <w:divsChild>
                <w:div w:id="312834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FFFFFF"/>
                <w:bottom w:val="none" w:sz="0" w:space="0" w:color="auto"/>
                <w:right w:val="none" w:sz="0" w:space="0" w:color="auto"/>
              </w:divBdr>
              <w:divsChild>
                <w:div w:id="3307622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AA6CD-894D-4123-B4B8-4432BDD9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440</Words>
  <Characters>2514</Characters>
  <Application>Microsoft Office Word</Application>
  <DocSecurity>0</DocSecurity>
  <Lines>20</Lines>
  <Paragraphs>5</Paragraphs>
  <ScaleCrop>false</ScaleCrop>
  <Company>Organization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龙祥 陈</cp:lastModifiedBy>
  <cp:revision>107</cp:revision>
  <dcterms:created xsi:type="dcterms:W3CDTF">2024-12-09T00:29:00Z</dcterms:created>
  <dcterms:modified xsi:type="dcterms:W3CDTF">2024-12-09T10:09:00Z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57D148DF2F764966BF4E1C38A6255FA2</vt:lpwstr>
  </property>
</Properties>
</file>