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C385">
      <w:pPr>
        <w:keepNext/>
        <w:keepLines/>
        <w:spacing w:before="260" w:after="260" w:line="360" w:lineRule="auto"/>
        <w:jc w:val="center"/>
        <w:outlineLvl w:val="1"/>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证券代码：605318                           证券简称：法狮龙</w:t>
      </w:r>
    </w:p>
    <w:p w14:paraId="7F13FA21">
      <w:pPr>
        <w:keepNext/>
        <w:keepLines/>
        <w:spacing w:before="260" w:after="260" w:line="360" w:lineRule="auto"/>
        <w:jc w:val="center"/>
        <w:outlineLvl w:val="1"/>
        <w:rPr>
          <w:rFonts w:hint="eastAsia"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法狮龙家居建材股份有限公司投资者关系活动记录表</w:t>
      </w:r>
    </w:p>
    <w:p w14:paraId="1CB3EFCD">
      <w:pPr>
        <w:keepNext/>
        <w:keepLines/>
        <w:spacing w:before="260" w:after="260" w:line="360" w:lineRule="auto"/>
        <w:jc w:val="right"/>
        <w:outlineLvl w:val="1"/>
        <w:rPr>
          <w:rFonts w:hint="eastAsia"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编号：2024-004</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5935"/>
      </w:tblGrid>
      <w:tr w14:paraId="4D97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3B6868F8">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投资者关系活动类别</w:t>
            </w:r>
          </w:p>
          <w:p w14:paraId="167AD2FB">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p>
        </w:tc>
        <w:tc>
          <w:tcPr>
            <w:tcW w:w="5935" w:type="dxa"/>
            <w:shd w:val="clear" w:color="auto" w:fill="auto"/>
          </w:tcPr>
          <w:p w14:paraId="7BBAB4EC">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特定对象调研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分析师会议</w:t>
            </w:r>
          </w:p>
          <w:p w14:paraId="4EF5AC39">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媒体采访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业绩说明会</w:t>
            </w:r>
          </w:p>
          <w:p w14:paraId="1FA68BE2">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新闻发布会          </w:t>
            </w: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路演活动</w:t>
            </w:r>
          </w:p>
          <w:p w14:paraId="5ED9AA88">
            <w:pPr>
              <w:tabs>
                <w:tab w:val="left" w:pos="2690"/>
                <w:tab w:val="center" w:pos="3199"/>
              </w:tabs>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现场参观            □电话会议</w:t>
            </w:r>
          </w:p>
          <w:p w14:paraId="3CE92F4D">
            <w:pPr>
              <w:tabs>
                <w:tab w:val="center" w:pos="3199"/>
              </w:tabs>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其他 （</w:t>
            </w:r>
            <w:r>
              <w:rPr>
                <w:rFonts w:hint="eastAsia" w:ascii="宋体" w:hAnsi="宋体" w:eastAsia="宋体" w:cs="Times New Roman"/>
                <w:color w:val="000000" w:themeColor="text1"/>
                <w:sz w:val="24"/>
                <w:szCs w:val="24"/>
                <w:u w:val="single"/>
                <w14:textFill>
                  <w14:solidFill>
                    <w14:schemeClr w14:val="tx1"/>
                  </w14:solidFill>
                </w14:textFill>
              </w:rPr>
              <w:t>请文字说明其他活动内容）</w:t>
            </w:r>
          </w:p>
        </w:tc>
      </w:tr>
      <w:tr w14:paraId="2E5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17C2AB9D">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参与单位名称及人员姓名</w:t>
            </w:r>
          </w:p>
        </w:tc>
        <w:tc>
          <w:tcPr>
            <w:tcW w:w="5935" w:type="dxa"/>
            <w:shd w:val="clear" w:color="auto" w:fill="auto"/>
          </w:tcPr>
          <w:p w14:paraId="420E6F41">
            <w:pPr>
              <w:tabs>
                <w:tab w:val="center" w:pos="2798"/>
              </w:tabs>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ascii="宋体" w:hAnsi="宋体" w:eastAsia="宋体" w:cs="Times New Roman"/>
                <w:bCs/>
                <w:iCs/>
                <w:color w:val="000000" w:themeColor="text1"/>
                <w:sz w:val="24"/>
                <w:szCs w:val="24"/>
                <w14:textFill>
                  <w14:solidFill>
                    <w14:schemeClr w14:val="tx1"/>
                  </w14:solidFill>
                </w14:textFill>
              </w:rPr>
              <w:t>通过网络互动参与公司</w:t>
            </w:r>
            <w:r>
              <w:rPr>
                <w:rFonts w:hint="eastAsia" w:ascii="宋体" w:hAnsi="宋体" w:eastAsia="宋体" w:cs="Times New Roman"/>
                <w:bCs/>
                <w:iCs/>
                <w:color w:val="000000" w:themeColor="text1"/>
                <w:sz w:val="24"/>
                <w:szCs w:val="24"/>
                <w14:textFill>
                  <w14:solidFill>
                    <w14:schemeClr w14:val="tx1"/>
                  </w14:solidFill>
                </w14:textFill>
              </w:rPr>
              <w:t>2024年第三季度业绩说明会的投资者</w:t>
            </w:r>
          </w:p>
        </w:tc>
      </w:tr>
      <w:tr w14:paraId="1CE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1E7D51EA">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会议时间</w:t>
            </w:r>
          </w:p>
        </w:tc>
        <w:tc>
          <w:tcPr>
            <w:tcW w:w="5935" w:type="dxa"/>
            <w:shd w:val="clear" w:color="auto" w:fill="auto"/>
          </w:tcPr>
          <w:p w14:paraId="4CC27C1F">
            <w:pPr>
              <w:spacing w:line="360" w:lineRule="auto"/>
              <w:jc w:val="center"/>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2024年12月10日13:00-14:00</w:t>
            </w:r>
          </w:p>
        </w:tc>
      </w:tr>
      <w:tr w14:paraId="1D12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3F0A9B9E">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会议形式：</w:t>
            </w:r>
          </w:p>
        </w:tc>
        <w:tc>
          <w:tcPr>
            <w:tcW w:w="5935" w:type="dxa"/>
            <w:shd w:val="clear" w:color="auto" w:fill="auto"/>
          </w:tcPr>
          <w:p w14:paraId="244F072C">
            <w:pPr>
              <w:spacing w:line="360" w:lineRule="auto"/>
              <w:ind w:firstLine="1680" w:firstLineChars="700"/>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网络文字互动</w:t>
            </w:r>
          </w:p>
        </w:tc>
      </w:tr>
      <w:tr w14:paraId="49D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tcPr>
          <w:p w14:paraId="6A63A551">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上市公司接待人员姓名</w:t>
            </w:r>
          </w:p>
        </w:tc>
        <w:tc>
          <w:tcPr>
            <w:tcW w:w="5935" w:type="dxa"/>
            <w:shd w:val="clear" w:color="auto" w:fill="auto"/>
          </w:tcPr>
          <w:p w14:paraId="5224E7D3">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 xml:space="preserve">董事长\总经理：沈正华       独立董事：朱利祥    </w:t>
            </w:r>
          </w:p>
          <w:p w14:paraId="67A1B5B8">
            <w:pPr>
              <w:spacing w:line="360" w:lineRule="auto"/>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董事会秘书：蔡凌雲        财务负责人：徐沈丽</w:t>
            </w:r>
          </w:p>
        </w:tc>
      </w:tr>
      <w:tr w14:paraId="211C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905" w:type="dxa"/>
            <w:shd w:val="clear" w:color="auto" w:fill="auto"/>
            <w:vAlign w:val="center"/>
          </w:tcPr>
          <w:p w14:paraId="11B80135">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投资者关系活动主要内容介绍</w:t>
            </w:r>
          </w:p>
        </w:tc>
        <w:tc>
          <w:tcPr>
            <w:tcW w:w="5935" w:type="dxa"/>
            <w:shd w:val="clear" w:color="auto" w:fill="auto"/>
          </w:tcPr>
          <w:p w14:paraId="62C0183E">
            <w:pPr>
              <w:spacing w:line="360" w:lineRule="auto"/>
              <w:rPr>
                <w:rFonts w:hint="eastAsia" w:ascii="宋体" w:hAnsi="宋体" w:eastAsia="宋体" w:cs="Times New Roman"/>
                <w:bCs/>
                <w:iCs/>
                <w:color w:val="000000" w:themeColor="text1"/>
                <w:szCs w:val="21"/>
                <w14:textFill>
                  <w14:solidFill>
                    <w14:schemeClr w14:val="tx1"/>
                  </w14:solidFill>
                </w14:textFill>
              </w:rPr>
            </w:pPr>
            <w:r>
              <w:rPr>
                <w:rFonts w:hint="eastAsia" w:ascii="宋体" w:hAnsi="宋体" w:eastAsia="宋体" w:cs="Times New Roman"/>
                <w:bCs/>
                <w:iCs/>
                <w:color w:val="000000" w:themeColor="text1"/>
                <w:szCs w:val="21"/>
                <w14:textFill>
                  <w14:solidFill>
                    <w14:schemeClr w14:val="tx1"/>
                  </w14:solidFill>
                </w14:textFill>
              </w:rPr>
              <w:t>公司已于2024年10月30日发布公司2024年第三季度报告，为便于广大投资者更全面深入的了解公司2024年第三季度经营成果、财务状况，公司于2024年12月10日下午13:00-14:00举行业绩说明会，就投资者关心的问题进行交流。相关记录如下：</w:t>
            </w:r>
          </w:p>
          <w:p w14:paraId="33EF6A93">
            <w:pPr>
              <w:spacing w:line="360" w:lineRule="auto"/>
              <w:rPr>
                <w:rFonts w:hint="eastAsia" w:ascii="宋体" w:hAnsi="宋体" w:eastAsia="宋体" w:cs="Helvetica"/>
                <w:b/>
                <w:color w:val="000000" w:themeColor="text1"/>
                <w:kern w:val="0"/>
                <w:szCs w:val="21"/>
                <w14:textFill>
                  <w14:solidFill>
                    <w14:schemeClr w14:val="tx1"/>
                  </w14:solidFill>
                </w14:textFill>
              </w:rPr>
            </w:pPr>
            <w:r>
              <w:rPr>
                <w:rFonts w:hint="eastAsia" w:ascii="宋体" w:hAnsi="宋体" w:eastAsia="宋体" w:cs="Times New Roman"/>
                <w:b/>
                <w:iCs/>
                <w:color w:val="000000" w:themeColor="text1"/>
                <w:szCs w:val="21"/>
                <w14:textFill>
                  <w14:solidFill>
                    <w14:schemeClr w14:val="tx1"/>
                  </w14:solidFill>
                </w14:textFill>
              </w:rPr>
              <w:t>Q:</w:t>
            </w:r>
            <w:r>
              <w:rPr>
                <w:rFonts w:hint="eastAsia" w:ascii="宋体" w:hAnsi="宋体" w:eastAsia="宋体" w:cs="Helvetica"/>
                <w:color w:val="000000" w:themeColor="text1"/>
                <w:kern w:val="0"/>
                <w:szCs w:val="21"/>
                <w14:textFill>
                  <w14:solidFill>
                    <w14:schemeClr w14:val="tx1"/>
                  </w14:solidFill>
                </w14:textFill>
              </w:rPr>
              <w:t xml:space="preserve"> 家居建材行业的行业集中度是否还在进一步提升？</w:t>
            </w:r>
          </w:p>
          <w:p w14:paraId="5D952CE7">
            <w:pPr>
              <w:spacing w:line="360" w:lineRule="auto"/>
              <w:rPr>
                <w:rFonts w:hint="eastAsia" w:ascii="宋体" w:hAnsi="宋体" w:eastAsia="宋体" w:cs="宋体"/>
                <w:b/>
                <w:kern w:val="0"/>
                <w:szCs w:val="21"/>
              </w:rPr>
            </w:pPr>
            <w:r>
              <w:rPr>
                <w:rFonts w:hint="eastAsia" w:ascii="宋体" w:hAnsi="宋体" w:eastAsia="宋体" w:cs="Helvetica"/>
                <w:b/>
                <w:color w:val="000000" w:themeColor="text1"/>
                <w:kern w:val="0"/>
                <w:szCs w:val="21"/>
                <w14:textFill>
                  <w14:solidFill>
                    <w14:schemeClr w14:val="tx1"/>
                  </w14:solidFill>
                </w14:textFill>
              </w:rPr>
              <w:t>A:</w:t>
            </w:r>
            <w:r>
              <w:rPr>
                <w:rFonts w:hint="eastAsia" w:ascii="宋体" w:hAnsi="宋体" w:eastAsia="宋体" w:cs="宋体"/>
                <w:color w:val="000000" w:themeColor="text1"/>
                <w:kern w:val="0"/>
                <w:szCs w:val="21"/>
                <w14:textFill>
                  <w14:solidFill>
                    <w14:schemeClr w14:val="tx1"/>
                  </w14:solidFill>
                </w14:textFill>
              </w:rPr>
              <w:t xml:space="preserve"> 目前，集成吊顶行业正处于竞争整合的阶段，消费者品牌意识正逐渐增强，品牌影响力、产品设计、服务水平突出的一些企业正脱颖而出，中小企业在竞争中将不断被淘汰或被整合，头部企业有望进一步整合资源，提升行业集中度，呈现强者恒强的行业局面。谢谢！</w:t>
            </w:r>
          </w:p>
          <w:p w14:paraId="3A4C57E9">
            <w:pPr>
              <w:spacing w:line="360" w:lineRule="auto"/>
              <w:rPr>
                <w:rFonts w:hint="eastAsia" w:ascii="宋体" w:hAnsi="宋体" w:eastAsia="宋体" w:cs="Helvetica"/>
                <w:b/>
                <w:kern w:val="0"/>
                <w:szCs w:val="21"/>
              </w:rPr>
            </w:pPr>
            <w:r>
              <w:rPr>
                <w:rFonts w:hint="eastAsia" w:ascii="宋体" w:hAnsi="宋体" w:eastAsia="宋体" w:cs="宋体"/>
                <w:b/>
                <w:kern w:val="0"/>
                <w:szCs w:val="21"/>
              </w:rPr>
              <w:t>Q:</w:t>
            </w:r>
            <w:r>
              <w:rPr>
                <w:rFonts w:hint="eastAsia" w:ascii="宋体" w:hAnsi="宋体" w:eastAsia="宋体" w:cs="Helvetica"/>
                <w:kern w:val="0"/>
                <w:szCs w:val="21"/>
              </w:rPr>
              <w:t xml:space="preserve"> 面对时下的经济环境，公司在战略上是否有转变或升级？</w:t>
            </w:r>
          </w:p>
          <w:p w14:paraId="63ECD863">
            <w:pPr>
              <w:spacing w:line="360" w:lineRule="auto"/>
              <w:rPr>
                <w:rFonts w:hint="eastAsia" w:ascii="宋体" w:hAnsi="宋体" w:eastAsia="宋体" w:cs="宋体"/>
                <w:b/>
                <w:kern w:val="0"/>
                <w:szCs w:val="21"/>
              </w:rPr>
            </w:pPr>
            <w:r>
              <w:rPr>
                <w:rFonts w:hint="eastAsia" w:ascii="宋体" w:hAnsi="宋体" w:eastAsia="宋体" w:cs="Helvetica"/>
                <w:b/>
                <w:kern w:val="0"/>
                <w:szCs w:val="21"/>
              </w:rPr>
              <w:t>A:</w:t>
            </w:r>
            <w:r>
              <w:rPr>
                <w:rFonts w:hint="eastAsia" w:ascii="宋体" w:hAnsi="宋体" w:eastAsia="宋体" w:cs="宋体"/>
                <w:kern w:val="0"/>
                <w:szCs w:val="21"/>
              </w:rPr>
              <w:t xml:space="preserve"> 2024年以来，随着房地产市场逐步进入存量市场以及家居建材消费趋势朝着整装方向发展，除了产品上向装配式场景化整装体系的构建外；公司业务渠道的战略方向不断在零售、家装和工程商业整装上进行细分和下沉，在零售上积极拓展乡镇渠道、家装上积极拓展旧改和翻新渠道、在工程商业上积极拓展大企业业务。谢谢！</w:t>
            </w:r>
          </w:p>
          <w:p w14:paraId="0F47AB01">
            <w:pPr>
              <w:spacing w:line="360" w:lineRule="auto"/>
              <w:rPr>
                <w:rFonts w:hint="eastAsia" w:ascii="宋体" w:hAnsi="宋体" w:eastAsia="宋体" w:cs="Helvetica"/>
                <w:kern w:val="0"/>
                <w:szCs w:val="21"/>
              </w:rPr>
            </w:pPr>
            <w:r>
              <w:rPr>
                <w:rFonts w:hint="eastAsia" w:ascii="宋体" w:hAnsi="宋体" w:eastAsia="宋体" w:cs="宋体"/>
                <w:b/>
                <w:kern w:val="0"/>
                <w:szCs w:val="21"/>
              </w:rPr>
              <w:t>Q:</w:t>
            </w:r>
            <w:r>
              <w:rPr>
                <w:rFonts w:hint="eastAsia" w:ascii="宋体" w:hAnsi="宋体" w:eastAsia="宋体" w:cs="Helvetica"/>
                <w:kern w:val="0"/>
                <w:szCs w:val="21"/>
              </w:rPr>
              <w:t xml:space="preserve"> 公司在战略升级过程中做了哪些努力？</w:t>
            </w:r>
          </w:p>
          <w:p w14:paraId="4C06C7CA">
            <w:pPr>
              <w:spacing w:line="360" w:lineRule="auto"/>
              <w:rPr>
                <w:rFonts w:hint="eastAsia" w:ascii="宋体" w:hAnsi="宋体" w:eastAsia="宋体" w:cs="Helvetica"/>
                <w:b/>
                <w:kern w:val="0"/>
                <w:szCs w:val="21"/>
              </w:rPr>
            </w:pPr>
            <w:r>
              <w:rPr>
                <w:rFonts w:hint="eastAsia" w:ascii="宋体" w:hAnsi="宋体" w:eastAsia="宋体" w:cs="Helvetica"/>
                <w:b/>
                <w:kern w:val="0"/>
                <w:szCs w:val="21"/>
              </w:rPr>
              <w:t>A:</w:t>
            </w:r>
            <w:r>
              <w:rPr>
                <w:rFonts w:hint="eastAsia" w:ascii="宋体" w:hAnsi="宋体" w:eastAsia="宋体"/>
                <w:szCs w:val="21"/>
              </w:rPr>
              <w:t>一方面，公司仍然加大对装配式整装的研发投入并成立装配式研究院形成公司战略级的研发机构；另一方面，在整装升级过程中，公司自身加大对数字化工厂的投入，使多品类制造效率大大提升，在整装上下游相关供应链的整合上，进一步聚集新材料，升级成为绿色环保整装产品体系的集成供应商。谢谢！</w:t>
            </w:r>
            <w:r>
              <w:rPr>
                <w:rFonts w:hint="eastAsia" w:ascii="宋体" w:hAnsi="宋体" w:eastAsia="宋体" w:cs="Helvetica"/>
                <w:b/>
                <w:kern w:val="0"/>
                <w:szCs w:val="21"/>
              </w:rPr>
              <w:t>Q:</w:t>
            </w:r>
            <w:r>
              <w:rPr>
                <w:rFonts w:hint="eastAsia" w:ascii="宋体" w:hAnsi="宋体" w:eastAsia="宋体" w:cs="Helvetica"/>
                <w:kern w:val="0"/>
                <w:szCs w:val="21"/>
              </w:rPr>
              <w:t xml:space="preserve"> 请问公司目前的营销网络建设得如何？</w:t>
            </w:r>
          </w:p>
          <w:p w14:paraId="4577324D">
            <w:pPr>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Helvetica"/>
                <w:b/>
                <w:kern w:val="0"/>
                <w:szCs w:val="21"/>
              </w:rPr>
              <w:t>A:</w:t>
            </w:r>
            <w:r>
              <w:rPr>
                <w:rFonts w:hint="eastAsia" w:ascii="宋体" w:hAnsi="宋体" w:eastAsia="宋体" w:cs="宋体"/>
                <w:kern w:val="0"/>
                <w:szCs w:val="21"/>
              </w:rPr>
              <w:t>经销商网络建设是法狮龙企业生存发展的重要环节，已经从原有在零售领域的经销商专卖店的覆盖和下沉，扩展为工程经销商和装企渠道经销商网点布局的多重经销商网络建设格局。尤其是零售经销商网络的覆盖和下沉在持续推进，通过产品细分、渠道细分、管理细分的方法，重新划分了一线城市的分区招商和乡镇市场的下沉的招商区域，网络布点进入快车道。进一步形成了覆盖全国一、二线大型城市、三线地级城市以及部分四线县级城市的零售、工程、装企销售网络格局，为客户提供全方位的服务做好了布局。谢谢！</w:t>
            </w:r>
          </w:p>
        </w:tc>
      </w:tr>
      <w:tr w14:paraId="1BBD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vAlign w:val="center"/>
          </w:tcPr>
          <w:p w14:paraId="18685508">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附件清单（如有）</w:t>
            </w:r>
          </w:p>
        </w:tc>
        <w:tc>
          <w:tcPr>
            <w:tcW w:w="5935" w:type="dxa"/>
            <w:shd w:val="clear" w:color="auto" w:fill="auto"/>
          </w:tcPr>
          <w:p w14:paraId="12C1BAA7">
            <w:pPr>
              <w:tabs>
                <w:tab w:val="left" w:pos="656"/>
              </w:tabs>
              <w:spacing w:line="360" w:lineRule="auto"/>
              <w:jc w:val="center"/>
              <w:rPr>
                <w:rFonts w:hint="eastAsia" w:ascii="宋体" w:hAnsi="宋体" w:eastAsia="宋体" w:cs="Times New Roman"/>
                <w:bCs/>
                <w:iCs/>
                <w:color w:val="000000" w:themeColor="text1"/>
                <w:sz w:val="24"/>
                <w:szCs w:val="24"/>
                <w14:textFill>
                  <w14:solidFill>
                    <w14:schemeClr w14:val="tx1"/>
                  </w14:solidFill>
                </w14:textFill>
              </w:rPr>
            </w:pPr>
            <w:r>
              <w:rPr>
                <w:rFonts w:hint="eastAsia" w:ascii="宋体" w:hAnsi="宋体" w:eastAsia="宋体" w:cs="Times New Roman"/>
                <w:bCs/>
                <w:iCs/>
                <w:color w:val="000000" w:themeColor="text1"/>
                <w:sz w:val="24"/>
                <w:szCs w:val="24"/>
                <w14:textFill>
                  <w14:solidFill>
                    <w14:schemeClr w14:val="tx1"/>
                  </w14:solidFill>
                </w14:textFill>
              </w:rPr>
              <w:t>无</w:t>
            </w:r>
          </w:p>
        </w:tc>
      </w:tr>
      <w:tr w14:paraId="366A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5" w:type="dxa"/>
            <w:shd w:val="clear" w:color="auto" w:fill="auto"/>
            <w:vAlign w:val="center"/>
          </w:tcPr>
          <w:p w14:paraId="4D48BBC5">
            <w:pPr>
              <w:spacing w:line="360" w:lineRule="auto"/>
              <w:rPr>
                <w:rFonts w:hint="eastAsia" w:ascii="宋体" w:hAnsi="宋体" w:eastAsia="宋体" w:cs="Times New Roman"/>
                <w:b/>
                <w:bCs/>
                <w:iCs/>
                <w:color w:val="000000" w:themeColor="text1"/>
                <w:sz w:val="24"/>
                <w:szCs w:val="24"/>
                <w14:textFill>
                  <w14:solidFill>
                    <w14:schemeClr w14:val="tx1"/>
                  </w14:solidFill>
                </w14:textFill>
              </w:rPr>
            </w:pPr>
            <w:r>
              <w:rPr>
                <w:rFonts w:hint="eastAsia" w:ascii="宋体" w:hAnsi="宋体" w:eastAsia="宋体" w:cs="Times New Roman"/>
                <w:b/>
                <w:bCs/>
                <w:iCs/>
                <w:color w:val="000000" w:themeColor="text1"/>
                <w:sz w:val="24"/>
                <w:szCs w:val="24"/>
                <w14:textFill>
                  <w14:solidFill>
                    <w14:schemeClr w14:val="tx1"/>
                  </w14:solidFill>
                </w14:textFill>
              </w:rPr>
              <w:t>日期</w:t>
            </w:r>
          </w:p>
        </w:tc>
        <w:tc>
          <w:tcPr>
            <w:tcW w:w="5935" w:type="dxa"/>
            <w:shd w:val="clear" w:color="auto" w:fill="auto"/>
            <w:vAlign w:val="center"/>
          </w:tcPr>
          <w:p w14:paraId="74A94687">
            <w:pPr>
              <w:spacing w:line="360" w:lineRule="auto"/>
              <w:jc w:val="center"/>
              <w:rPr>
                <w:rFonts w:hint="eastAsia" w:ascii="宋体" w:hAnsi="宋体" w:eastAsia="宋体" w:cs="Times New Roman"/>
                <w:iCs/>
                <w:color w:val="000000" w:themeColor="text1"/>
                <w:sz w:val="24"/>
                <w:szCs w:val="24"/>
                <w14:textFill>
                  <w14:solidFill>
                    <w14:schemeClr w14:val="tx1"/>
                  </w14:solidFill>
                </w14:textFill>
              </w:rPr>
            </w:pPr>
            <w:r>
              <w:rPr>
                <w:rFonts w:hint="eastAsia" w:ascii="宋体" w:hAnsi="宋体" w:eastAsia="宋体" w:cs="Times New Roman"/>
                <w:iCs/>
                <w:color w:val="000000" w:themeColor="text1"/>
                <w:sz w:val="24"/>
                <w:szCs w:val="24"/>
                <w14:textFill>
                  <w14:solidFill>
                    <w14:schemeClr w14:val="tx1"/>
                  </w14:solidFill>
                </w14:textFill>
              </w:rPr>
              <w:t>2024年12月10日</w:t>
            </w:r>
          </w:p>
        </w:tc>
      </w:tr>
    </w:tbl>
    <w:p w14:paraId="5CBA5319">
      <w:pPr>
        <w:keepNext/>
        <w:keepLines/>
        <w:spacing w:before="260" w:after="260" w:line="360" w:lineRule="auto"/>
        <w:outlineLvl w:val="1"/>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2JjMDU5ZjgzY2U3ZWRmZWQ5NzE0NjcyNDIwNTgifQ=="/>
  </w:docVars>
  <w:rsids>
    <w:rsidRoot w:val="00EE26CD"/>
    <w:rsid w:val="00003317"/>
    <w:rsid w:val="0000466C"/>
    <w:rsid w:val="00007952"/>
    <w:rsid w:val="00014EDC"/>
    <w:rsid w:val="00014F2A"/>
    <w:rsid w:val="00021F69"/>
    <w:rsid w:val="00023F7B"/>
    <w:rsid w:val="000269F1"/>
    <w:rsid w:val="00026CD7"/>
    <w:rsid w:val="00026E2B"/>
    <w:rsid w:val="000270E5"/>
    <w:rsid w:val="000275B8"/>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C654A"/>
    <w:rsid w:val="000F6BEB"/>
    <w:rsid w:val="00103C4E"/>
    <w:rsid w:val="00111EF4"/>
    <w:rsid w:val="00113C72"/>
    <w:rsid w:val="00114CEA"/>
    <w:rsid w:val="001221B8"/>
    <w:rsid w:val="001304EB"/>
    <w:rsid w:val="001334C1"/>
    <w:rsid w:val="00136BC5"/>
    <w:rsid w:val="00143A57"/>
    <w:rsid w:val="00151B55"/>
    <w:rsid w:val="001672FF"/>
    <w:rsid w:val="001819EF"/>
    <w:rsid w:val="001826D8"/>
    <w:rsid w:val="00186DBB"/>
    <w:rsid w:val="001965A6"/>
    <w:rsid w:val="001A125C"/>
    <w:rsid w:val="001A1980"/>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41CC0"/>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C699A"/>
    <w:rsid w:val="002D15D1"/>
    <w:rsid w:val="002D3753"/>
    <w:rsid w:val="002F1B04"/>
    <w:rsid w:val="002F4C46"/>
    <w:rsid w:val="002F6EAD"/>
    <w:rsid w:val="00307607"/>
    <w:rsid w:val="00307EC1"/>
    <w:rsid w:val="0031032E"/>
    <w:rsid w:val="003131C3"/>
    <w:rsid w:val="00313476"/>
    <w:rsid w:val="0031371B"/>
    <w:rsid w:val="00320D9D"/>
    <w:rsid w:val="00320EA7"/>
    <w:rsid w:val="003233A9"/>
    <w:rsid w:val="00327CE4"/>
    <w:rsid w:val="00336191"/>
    <w:rsid w:val="00340A0E"/>
    <w:rsid w:val="003413FD"/>
    <w:rsid w:val="003508D5"/>
    <w:rsid w:val="003524BC"/>
    <w:rsid w:val="003538F4"/>
    <w:rsid w:val="0035572A"/>
    <w:rsid w:val="00362CD0"/>
    <w:rsid w:val="00363384"/>
    <w:rsid w:val="0037038A"/>
    <w:rsid w:val="00371167"/>
    <w:rsid w:val="003722F1"/>
    <w:rsid w:val="0037245D"/>
    <w:rsid w:val="00376EB2"/>
    <w:rsid w:val="0038034C"/>
    <w:rsid w:val="00386F86"/>
    <w:rsid w:val="00397642"/>
    <w:rsid w:val="003A2EB2"/>
    <w:rsid w:val="003B13A4"/>
    <w:rsid w:val="003C0892"/>
    <w:rsid w:val="003C3B7B"/>
    <w:rsid w:val="003C6CD1"/>
    <w:rsid w:val="003D2A88"/>
    <w:rsid w:val="003D2F73"/>
    <w:rsid w:val="003D40E0"/>
    <w:rsid w:val="003F2A5A"/>
    <w:rsid w:val="003F6293"/>
    <w:rsid w:val="003F6D0B"/>
    <w:rsid w:val="003F7012"/>
    <w:rsid w:val="00400B90"/>
    <w:rsid w:val="0040142B"/>
    <w:rsid w:val="00404723"/>
    <w:rsid w:val="004106EC"/>
    <w:rsid w:val="004109EA"/>
    <w:rsid w:val="00410BCD"/>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88F"/>
    <w:rsid w:val="004C6956"/>
    <w:rsid w:val="004D4156"/>
    <w:rsid w:val="004D614E"/>
    <w:rsid w:val="004E25DD"/>
    <w:rsid w:val="004E4CBB"/>
    <w:rsid w:val="004F5C3F"/>
    <w:rsid w:val="00504DF9"/>
    <w:rsid w:val="00507071"/>
    <w:rsid w:val="00510286"/>
    <w:rsid w:val="00524D04"/>
    <w:rsid w:val="00534D66"/>
    <w:rsid w:val="0054404C"/>
    <w:rsid w:val="00572A6D"/>
    <w:rsid w:val="00575045"/>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7318"/>
    <w:rsid w:val="00605119"/>
    <w:rsid w:val="00606A42"/>
    <w:rsid w:val="006166C0"/>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178C6"/>
    <w:rsid w:val="00733488"/>
    <w:rsid w:val="00735F4D"/>
    <w:rsid w:val="00745C07"/>
    <w:rsid w:val="00746249"/>
    <w:rsid w:val="00751592"/>
    <w:rsid w:val="00756A97"/>
    <w:rsid w:val="00757362"/>
    <w:rsid w:val="0076183F"/>
    <w:rsid w:val="00770B3F"/>
    <w:rsid w:val="00771A91"/>
    <w:rsid w:val="00773213"/>
    <w:rsid w:val="007804BF"/>
    <w:rsid w:val="00785284"/>
    <w:rsid w:val="0079430A"/>
    <w:rsid w:val="00794C8B"/>
    <w:rsid w:val="00795940"/>
    <w:rsid w:val="007A4905"/>
    <w:rsid w:val="007B196F"/>
    <w:rsid w:val="007B7BE5"/>
    <w:rsid w:val="007C39F3"/>
    <w:rsid w:val="007C7447"/>
    <w:rsid w:val="007C7D09"/>
    <w:rsid w:val="007E1F58"/>
    <w:rsid w:val="007F2176"/>
    <w:rsid w:val="00806573"/>
    <w:rsid w:val="00814484"/>
    <w:rsid w:val="008160A1"/>
    <w:rsid w:val="00816CED"/>
    <w:rsid w:val="00821685"/>
    <w:rsid w:val="0082317A"/>
    <w:rsid w:val="00827C6C"/>
    <w:rsid w:val="00836E8C"/>
    <w:rsid w:val="008453D5"/>
    <w:rsid w:val="00857E84"/>
    <w:rsid w:val="00865948"/>
    <w:rsid w:val="00873293"/>
    <w:rsid w:val="00875E95"/>
    <w:rsid w:val="008914C8"/>
    <w:rsid w:val="00894406"/>
    <w:rsid w:val="008A120E"/>
    <w:rsid w:val="008B4886"/>
    <w:rsid w:val="008C04C9"/>
    <w:rsid w:val="008C4D32"/>
    <w:rsid w:val="008C6B72"/>
    <w:rsid w:val="008C7588"/>
    <w:rsid w:val="008D0271"/>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0F51"/>
    <w:rsid w:val="009868C0"/>
    <w:rsid w:val="00991961"/>
    <w:rsid w:val="009C06A4"/>
    <w:rsid w:val="009C63B1"/>
    <w:rsid w:val="009E0B46"/>
    <w:rsid w:val="009E3D68"/>
    <w:rsid w:val="009F331B"/>
    <w:rsid w:val="00A03AA1"/>
    <w:rsid w:val="00A04996"/>
    <w:rsid w:val="00A05042"/>
    <w:rsid w:val="00A10F5B"/>
    <w:rsid w:val="00A16EEA"/>
    <w:rsid w:val="00A16F6F"/>
    <w:rsid w:val="00A31B20"/>
    <w:rsid w:val="00A32B73"/>
    <w:rsid w:val="00A32ED1"/>
    <w:rsid w:val="00A3348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D7561"/>
    <w:rsid w:val="00AE00B6"/>
    <w:rsid w:val="00AE3EE3"/>
    <w:rsid w:val="00AF6EE4"/>
    <w:rsid w:val="00B07508"/>
    <w:rsid w:val="00B12278"/>
    <w:rsid w:val="00B27C19"/>
    <w:rsid w:val="00B342C5"/>
    <w:rsid w:val="00B36A53"/>
    <w:rsid w:val="00B37787"/>
    <w:rsid w:val="00B4298C"/>
    <w:rsid w:val="00B446BA"/>
    <w:rsid w:val="00B47853"/>
    <w:rsid w:val="00B52BAB"/>
    <w:rsid w:val="00B57667"/>
    <w:rsid w:val="00B577E9"/>
    <w:rsid w:val="00B61BCB"/>
    <w:rsid w:val="00B67838"/>
    <w:rsid w:val="00B70645"/>
    <w:rsid w:val="00B73AED"/>
    <w:rsid w:val="00B84DF3"/>
    <w:rsid w:val="00B855F5"/>
    <w:rsid w:val="00B8596B"/>
    <w:rsid w:val="00B86C5E"/>
    <w:rsid w:val="00B87C18"/>
    <w:rsid w:val="00B922C8"/>
    <w:rsid w:val="00B948F2"/>
    <w:rsid w:val="00B95F5D"/>
    <w:rsid w:val="00BA5CF6"/>
    <w:rsid w:val="00BB20B3"/>
    <w:rsid w:val="00BB3386"/>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66117"/>
    <w:rsid w:val="00C70DF2"/>
    <w:rsid w:val="00C7174C"/>
    <w:rsid w:val="00C860DF"/>
    <w:rsid w:val="00C86520"/>
    <w:rsid w:val="00C91519"/>
    <w:rsid w:val="00C9168C"/>
    <w:rsid w:val="00C91FD9"/>
    <w:rsid w:val="00C951AA"/>
    <w:rsid w:val="00CC092E"/>
    <w:rsid w:val="00CC4FD6"/>
    <w:rsid w:val="00CC6538"/>
    <w:rsid w:val="00CC78CC"/>
    <w:rsid w:val="00CD419D"/>
    <w:rsid w:val="00CD65D6"/>
    <w:rsid w:val="00CD66E0"/>
    <w:rsid w:val="00CE6D72"/>
    <w:rsid w:val="00CF6F6C"/>
    <w:rsid w:val="00D00ECB"/>
    <w:rsid w:val="00D100A7"/>
    <w:rsid w:val="00D12BD7"/>
    <w:rsid w:val="00D13CFA"/>
    <w:rsid w:val="00D170E1"/>
    <w:rsid w:val="00D208A4"/>
    <w:rsid w:val="00D327C1"/>
    <w:rsid w:val="00D34586"/>
    <w:rsid w:val="00D37CB6"/>
    <w:rsid w:val="00D40C13"/>
    <w:rsid w:val="00D41E36"/>
    <w:rsid w:val="00D5622E"/>
    <w:rsid w:val="00D7427C"/>
    <w:rsid w:val="00D76F2A"/>
    <w:rsid w:val="00D84DF8"/>
    <w:rsid w:val="00D93D53"/>
    <w:rsid w:val="00D96FB9"/>
    <w:rsid w:val="00DA1218"/>
    <w:rsid w:val="00DA4962"/>
    <w:rsid w:val="00DA5894"/>
    <w:rsid w:val="00DB1D3C"/>
    <w:rsid w:val="00DD2242"/>
    <w:rsid w:val="00DD27C7"/>
    <w:rsid w:val="00DE31A5"/>
    <w:rsid w:val="00DE7F6D"/>
    <w:rsid w:val="00E0172D"/>
    <w:rsid w:val="00E07C47"/>
    <w:rsid w:val="00E24E41"/>
    <w:rsid w:val="00E25290"/>
    <w:rsid w:val="00E32A31"/>
    <w:rsid w:val="00E53347"/>
    <w:rsid w:val="00E53783"/>
    <w:rsid w:val="00E61A61"/>
    <w:rsid w:val="00E64488"/>
    <w:rsid w:val="00E668C5"/>
    <w:rsid w:val="00E711BE"/>
    <w:rsid w:val="00E803AB"/>
    <w:rsid w:val="00E92E52"/>
    <w:rsid w:val="00E93DA5"/>
    <w:rsid w:val="00EA3651"/>
    <w:rsid w:val="00EA5CFB"/>
    <w:rsid w:val="00EA6288"/>
    <w:rsid w:val="00EC10E4"/>
    <w:rsid w:val="00EC1ED4"/>
    <w:rsid w:val="00EC28FD"/>
    <w:rsid w:val="00ED3AB2"/>
    <w:rsid w:val="00ED53EA"/>
    <w:rsid w:val="00EE02A6"/>
    <w:rsid w:val="00EE16DD"/>
    <w:rsid w:val="00EE26CD"/>
    <w:rsid w:val="00EE7C85"/>
    <w:rsid w:val="00EF344A"/>
    <w:rsid w:val="00F0195D"/>
    <w:rsid w:val="00F06B8F"/>
    <w:rsid w:val="00F1256C"/>
    <w:rsid w:val="00F142F3"/>
    <w:rsid w:val="00F32FC6"/>
    <w:rsid w:val="00F42E00"/>
    <w:rsid w:val="00F50F83"/>
    <w:rsid w:val="00F51380"/>
    <w:rsid w:val="00F5385A"/>
    <w:rsid w:val="00F60682"/>
    <w:rsid w:val="00F6394E"/>
    <w:rsid w:val="00F66E15"/>
    <w:rsid w:val="00F744EC"/>
    <w:rsid w:val="00F74675"/>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15152076"/>
    <w:rsid w:val="1B100667"/>
    <w:rsid w:val="1ECC5B89"/>
    <w:rsid w:val="246B6286"/>
    <w:rsid w:val="260B6249"/>
    <w:rsid w:val="301C1075"/>
    <w:rsid w:val="30465FB1"/>
    <w:rsid w:val="32242D99"/>
    <w:rsid w:val="34D81FF6"/>
    <w:rsid w:val="38D10011"/>
    <w:rsid w:val="3C3B26B6"/>
    <w:rsid w:val="3E037C4A"/>
    <w:rsid w:val="41214CBE"/>
    <w:rsid w:val="467F0394"/>
    <w:rsid w:val="47A434A2"/>
    <w:rsid w:val="4A560B98"/>
    <w:rsid w:val="4CF7225E"/>
    <w:rsid w:val="56D8047F"/>
    <w:rsid w:val="58D00699"/>
    <w:rsid w:val="685428D3"/>
    <w:rsid w:val="6DC63494"/>
    <w:rsid w:val="71C1419B"/>
    <w:rsid w:val="728F7BF8"/>
    <w:rsid w:val="7D9832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autoRedefine/>
    <w:semiHidden/>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semiHidden/>
    <w:unhideWhenUsed/>
    <w:qFormat/>
    <w:uiPriority w:val="99"/>
    <w:rPr>
      <w:b/>
      <w:bCs/>
    </w:rPr>
  </w:style>
  <w:style w:type="table" w:styleId="8">
    <w:name w:val="Table Grid"/>
    <w:basedOn w:val="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kern w:val="2"/>
      <w:sz w:val="18"/>
      <w:szCs w:val="18"/>
    </w:rPr>
  </w:style>
  <w:style w:type="character" w:customStyle="1" w:styleId="12">
    <w:name w:val="页脚 字符"/>
    <w:basedOn w:val="9"/>
    <w:link w:val="4"/>
    <w:autoRedefine/>
    <w:qFormat/>
    <w:uiPriority w:val="99"/>
    <w:rPr>
      <w:kern w:val="2"/>
      <w:sz w:val="18"/>
      <w:szCs w:val="18"/>
    </w:rPr>
  </w:style>
  <w:style w:type="paragraph" w:styleId="13">
    <w:name w:val="List Paragraph"/>
    <w:basedOn w:val="1"/>
    <w:autoRedefine/>
    <w:qFormat/>
    <w:uiPriority w:val="99"/>
    <w:pPr>
      <w:ind w:firstLine="420" w:firstLineChars="200"/>
    </w:pPr>
  </w:style>
  <w:style w:type="character" w:customStyle="1" w:styleId="14">
    <w:name w:val="批注文字 字符"/>
    <w:basedOn w:val="9"/>
    <w:link w:val="2"/>
    <w:autoRedefine/>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character" w:customStyle="1" w:styleId="16">
    <w:name w:val="批注框文本 字符"/>
    <w:basedOn w:val="9"/>
    <w:link w:val="3"/>
    <w:autoRedefine/>
    <w:semiHidden/>
    <w:qFormat/>
    <w:uiPriority w:val="99"/>
    <w:rPr>
      <w:kern w:val="2"/>
      <w:sz w:val="18"/>
      <w:szCs w:val="18"/>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1051</Words>
  <Characters>1123</Characters>
  <Lines>9</Lines>
  <Paragraphs>2</Paragraphs>
  <TotalTime>324</TotalTime>
  <ScaleCrop>false</ScaleCrop>
  <LinksUpToDate>false</LinksUpToDate>
  <CharactersWithSpaces>1218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2023-09-28T05:09:00Z</dcterms:created>
  <dc:creator>Li Xiang</dc:creator>
  <cp:lastModifiedBy>卫</cp:lastModifiedBy>
  <dcterms:modified xsi:type="dcterms:W3CDTF">2024-12-11T01:42:36Z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AB62BFCA71AD484486EDFE3D83355B8B_13</vt:lpwstr>
  </property>
</Properties>
</file>