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hint="eastAsia" w:ascii="宋体" w:hAnsi="宋体" w:eastAsia="宋体"/>
          <w:bCs/>
          <w:iCs/>
          <w:color w:val="000000"/>
          <w:sz w:val="24"/>
          <w:szCs w:val="24"/>
          <w:lang w:eastAsia="zh-CN"/>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rPr>
        <w:t>4</w:t>
      </w:r>
      <w:r>
        <w:rPr>
          <w:rFonts w:ascii="宋体" w:hAnsi="宋体"/>
          <w:bCs/>
          <w:iCs/>
          <w:color w:val="000000"/>
          <w:sz w:val="24"/>
          <w:szCs w:val="24"/>
        </w:rPr>
        <w:t>-02</w:t>
      </w:r>
      <w:r>
        <w:rPr>
          <w:rFonts w:hint="default" w:ascii="宋体" w:hAnsi="宋体"/>
          <w:bCs/>
          <w:iCs/>
          <w:color w:val="000000"/>
          <w:sz w:val="24"/>
          <w:szCs w:val="24"/>
          <w:lang w:val="en-US" w:eastAsia="zh-CN"/>
        </w:rPr>
        <w:t>4</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782"/>
        <w:gridCol w:w="1783"/>
        <w:gridCol w:w="1783"/>
        <w:gridCol w:w="1786"/>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restart"/>
            <w:tcBorders>
              <w:top w:val="single" w:color="auto" w:sz="4" w:space="0"/>
              <w:left w:val="single" w:color="auto" w:sz="4" w:space="0"/>
              <w:right w:val="single" w:color="auto" w:sz="4" w:space="0"/>
            </w:tcBorders>
            <w:shd w:val="clear" w:color="auto" w:fill="auto"/>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72950936">
            <w:pPr>
              <w:keepNext w:val="0"/>
              <w:keepLines w:val="0"/>
              <w:widowControl/>
              <w:suppressLineNumbers w:val="0"/>
              <w:jc w:val="center"/>
              <w:textAlignment w:val="center"/>
              <w:rPr>
                <w:rFonts w:hint="eastAsia" w:ascii="宋体" w:hAnsi="宋体" w:eastAsia="宋体" w:cs="宋体"/>
                <w:bCs/>
                <w:iCs/>
                <w:color w:val="000000"/>
                <w:sz w:val="24"/>
                <w:szCs w:val="24"/>
              </w:rPr>
            </w:pPr>
            <w:r>
              <w:rPr>
                <w:rFonts w:hint="eastAsia" w:ascii="宋体" w:hAnsi="宋体" w:eastAsia="宋体" w:cs="宋体"/>
                <w:i w:val="0"/>
                <w:iCs w:val="0"/>
                <w:color w:val="000000"/>
                <w:kern w:val="0"/>
                <w:sz w:val="24"/>
                <w:szCs w:val="24"/>
                <w:u w:val="none"/>
                <w:lang w:val="en-US" w:eastAsia="zh-CN" w:bidi="ar"/>
              </w:rPr>
              <w:t>长江证券</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57268257">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东北证券</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033713F1">
            <w:pPr>
              <w:keepNext w:val="0"/>
              <w:keepLines w:val="0"/>
              <w:widowControl/>
              <w:suppressLineNumbers w:val="0"/>
              <w:jc w:val="center"/>
              <w:textAlignment w:val="center"/>
              <w:rPr>
                <w:rFonts w:hint="eastAsia" w:ascii="宋体" w:hAnsi="宋体" w:eastAsia="宋体" w:cs="宋体"/>
                <w:bCs/>
                <w:iCs/>
                <w:color w:val="00000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西南证券</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21A233B4">
            <w:pPr>
              <w:keepNext w:val="0"/>
              <w:keepLines w:val="0"/>
              <w:widowControl/>
              <w:suppressLineNumbers w:val="0"/>
              <w:jc w:val="center"/>
              <w:textAlignment w:val="center"/>
              <w:rPr>
                <w:rFonts w:hint="eastAsia" w:ascii="宋体" w:hAnsi="宋体" w:eastAsia="宋体" w:cs="宋体"/>
                <w:bCs/>
                <w:iCs/>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东兴基金</w:t>
            </w:r>
          </w:p>
        </w:tc>
      </w:tr>
      <w:tr w14:paraId="4BEB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487BB2A9">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2D094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嘉实基金</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5D5D1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民生加银</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4828D9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兴源投资</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2C1B2E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全天候投资</w:t>
            </w:r>
          </w:p>
        </w:tc>
      </w:tr>
      <w:tr w14:paraId="08A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4C6FDE49">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17BC26EA">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合远基金</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438F2973">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新华基金</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06776EA8">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工银瑞信</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23149519">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汐泰投资</w:t>
            </w:r>
          </w:p>
        </w:tc>
      </w:tr>
      <w:tr w14:paraId="1C12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0E540204">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267C3DDE">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一乾私募</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4CFC764F">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千禧投资</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2284D6FD">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中信资管</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24ADA288">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中泰证券</w:t>
            </w:r>
          </w:p>
        </w:tc>
      </w:tr>
      <w:tr w14:paraId="1CEF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47CA12DE">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5553EAF5">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淡水泉</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7C52C425">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源乐晟</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55A3D017">
            <w:pPr>
              <w:keepNext w:val="0"/>
              <w:keepLines w:val="0"/>
              <w:widowControl/>
              <w:suppressLineNumbers w:val="0"/>
              <w:jc w:val="center"/>
              <w:textAlignment w:val="center"/>
              <w:rPr>
                <w:rFonts w:hint="eastAsia" w:ascii="宋体" w:hAnsi="宋体" w:eastAsia="宋体" w:cs="宋体"/>
                <w:bCs/>
                <w:iCs/>
                <w:color w:val="00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景林资产</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5D61ACE4">
            <w:pPr>
              <w:keepNext w:val="0"/>
              <w:keepLines w:val="0"/>
              <w:widowControl/>
              <w:suppressLineNumbers w:val="0"/>
              <w:jc w:val="center"/>
              <w:textAlignment w:val="center"/>
              <w:rPr>
                <w:rFonts w:hint="eastAsia" w:ascii="宋体" w:hAnsi="宋体" w:eastAsia="宋体" w:cs="宋体"/>
                <w:bCs/>
                <w:iCs/>
                <w:color w:val="00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英大资产</w:t>
            </w:r>
          </w:p>
        </w:tc>
      </w:tr>
      <w:tr w14:paraId="21E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5097CFCA">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6DF7FEB5">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泓德基金</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58A554E5">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正御资产</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0D836DFE">
            <w:pPr>
              <w:keepNext w:val="0"/>
              <w:keepLines w:val="0"/>
              <w:widowControl/>
              <w:suppressLineNumbers w:val="0"/>
              <w:jc w:val="center"/>
              <w:textAlignment w:val="center"/>
              <w:rPr>
                <w:rFonts w:hint="eastAsia" w:ascii="宋体" w:hAnsi="宋体" w:eastAsia="宋体" w:cs="宋体"/>
                <w:bCs/>
                <w:iCs/>
                <w:color w:val="00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金鹰基金</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56C68A73">
            <w:pPr>
              <w:keepNext w:val="0"/>
              <w:keepLines w:val="0"/>
              <w:widowControl/>
              <w:suppressLineNumbers w:val="0"/>
              <w:jc w:val="center"/>
              <w:textAlignment w:val="center"/>
              <w:rPr>
                <w:rFonts w:hint="eastAsia" w:ascii="宋体" w:hAnsi="宋体" w:eastAsia="宋体" w:cs="宋体"/>
                <w:bCs/>
                <w:iCs/>
                <w:color w:val="00000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勤辰资产</w:t>
            </w:r>
          </w:p>
        </w:tc>
      </w:tr>
      <w:tr w14:paraId="480E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pct"/>
            <w:vMerge w:val="continue"/>
            <w:tcBorders>
              <w:left w:val="single" w:color="auto" w:sz="4" w:space="0"/>
              <w:right w:val="single" w:color="auto" w:sz="4" w:space="0"/>
            </w:tcBorders>
            <w:shd w:val="clear" w:color="auto" w:fill="auto"/>
            <w:vAlign w:val="center"/>
          </w:tcPr>
          <w:p w14:paraId="14067621">
            <w:pPr>
              <w:spacing w:line="560" w:lineRule="exact"/>
              <w:jc w:val="center"/>
              <w:rPr>
                <w:rFonts w:hint="eastAsia" w:ascii="宋体" w:hAnsi="宋体"/>
                <w:bCs/>
                <w:iCs/>
                <w:color w:val="000000"/>
                <w:sz w:val="24"/>
                <w:szCs w:val="24"/>
              </w:rPr>
            </w:pP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4E6B23B0">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观火投研</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7E2103AA">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星石投资</w:t>
            </w:r>
          </w:p>
        </w:tc>
        <w:tc>
          <w:tcPr>
            <w:tcW w:w="1046" w:type="pct"/>
            <w:tcBorders>
              <w:top w:val="single" w:color="auto" w:sz="4" w:space="0"/>
              <w:left w:val="single" w:color="auto" w:sz="4" w:space="0"/>
              <w:bottom w:val="single" w:color="auto" w:sz="4" w:space="0"/>
              <w:right w:val="single" w:color="auto" w:sz="4" w:space="0"/>
            </w:tcBorders>
            <w:shd w:val="clear" w:color="auto" w:fill="auto"/>
            <w:vAlign w:val="center"/>
          </w:tcPr>
          <w:p w14:paraId="19BC0A02">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恒安标准人寿</w:t>
            </w:r>
          </w:p>
        </w:tc>
        <w:tc>
          <w:tcPr>
            <w:tcW w:w="1047" w:type="pct"/>
            <w:tcBorders>
              <w:top w:val="single" w:color="auto" w:sz="4" w:space="0"/>
              <w:left w:val="single" w:color="auto" w:sz="4" w:space="0"/>
              <w:bottom w:val="single" w:color="auto" w:sz="4" w:space="0"/>
              <w:right w:val="single" w:color="auto" w:sz="4" w:space="0"/>
            </w:tcBorders>
            <w:shd w:val="clear" w:color="auto" w:fill="auto"/>
            <w:vAlign w:val="center"/>
          </w:tcPr>
          <w:p w14:paraId="27B69000">
            <w:pPr>
              <w:keepNext w:val="0"/>
              <w:keepLines w:val="0"/>
              <w:widowControl/>
              <w:suppressLineNumbers w:val="0"/>
              <w:jc w:val="center"/>
              <w:textAlignment w:val="center"/>
              <w:rPr>
                <w:rFonts w:hint="eastAsia" w:ascii="宋体" w:hAnsi="宋体" w:eastAsia="宋体" w:cs="宋体"/>
                <w:bCs/>
                <w:iCs/>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煜徳投资</w:t>
            </w: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E74629">
            <w:pPr>
              <w:bidi w:val="0"/>
              <w:rPr>
                <w:rFonts w:hint="eastAsia" w:eastAsia="宋体"/>
                <w:lang w:eastAsia="zh-CN"/>
              </w:rPr>
            </w:pPr>
            <w:r>
              <w:rPr>
                <w:rFonts w:hint="eastAsia"/>
              </w:rPr>
              <w:t>2024年</w:t>
            </w:r>
            <w:r>
              <w:t>1</w:t>
            </w:r>
            <w:r>
              <w:rPr>
                <w:rFonts w:hint="default"/>
                <w:lang w:val="en-US"/>
              </w:rPr>
              <w:t>2</w:t>
            </w:r>
            <w:r>
              <w:rPr>
                <w:rFonts w:hint="eastAsia"/>
              </w:rPr>
              <w:t>月</w:t>
            </w:r>
            <w:r>
              <w:rPr>
                <w:rFonts w:hint="default"/>
                <w:lang w:val="en-US" w:eastAsia="zh-CN"/>
              </w:rPr>
              <w:t>10</w:t>
            </w:r>
            <w:r>
              <w:rPr>
                <w:rFonts w:hint="eastAsia"/>
              </w:rPr>
              <w:t>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53307A">
            <w:pPr>
              <w:spacing w:line="360" w:lineRule="auto"/>
              <w:rPr>
                <w:color w:val="000000"/>
                <w:sz w:val="24"/>
                <w:szCs w:val="24"/>
              </w:rPr>
            </w:pPr>
            <w:r>
              <w:rPr>
                <w:rFonts w:hint="eastAsia"/>
                <w:color w:val="000000"/>
                <w:sz w:val="24"/>
                <w:szCs w:val="24"/>
                <w:lang w:val="en-US" w:eastAsia="zh-CN"/>
              </w:rPr>
              <w:t>线下：华通线缆四楼会议室；</w:t>
            </w:r>
            <w:r>
              <w:rPr>
                <w:rFonts w:hint="eastAsia"/>
                <w:color w:val="000000"/>
                <w:sz w:val="24"/>
                <w:szCs w:val="24"/>
              </w:rPr>
              <w:t>线上：</w:t>
            </w:r>
            <w:r>
              <w:rPr>
                <w:rFonts w:hint="eastAsia"/>
                <w:color w:val="000000"/>
                <w:sz w:val="24"/>
                <w:szCs w:val="24"/>
                <w:lang w:val="en-US" w:eastAsia="zh-CN"/>
              </w:rPr>
              <w:t>腾讯</w:t>
            </w:r>
            <w:r>
              <w:rPr>
                <w:rFonts w:hint="eastAsia"/>
                <w:color w:val="000000"/>
                <w:sz w:val="24"/>
                <w:szCs w:val="24"/>
              </w:rPr>
              <w:t>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CC3D2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公司管理层交流</w:t>
            </w:r>
          </w:p>
          <w:p w14:paraId="1E51B7B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公司管理层与参会投资者进行互动交流，主要沟通内容如下：</w:t>
            </w:r>
          </w:p>
          <w:p w14:paraId="47639D5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1、公司产品毛利率情况如何？</w:t>
            </w:r>
          </w:p>
          <w:p w14:paraId="6AD50A9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目前两个主营板块为电线电缆及油气服务，整体而言油服产品毛利率高于线缆产品，海外线缆板块盈利能力高于国内线缆板块，其中国内线缆领域行业集中度较低，线缆厂家较多，行业竞争激烈。公司同种产品毛利率情况基本稳定，竞争力较强的产品如管缆产品毛利率情况有上升趋势。</w:t>
            </w:r>
          </w:p>
          <w:p w14:paraId="625A2E8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2、公司目前的资本开支情况？</w:t>
            </w:r>
          </w:p>
          <w:p w14:paraId="24C3B2B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宋体" w:hAnsi="宋体" w:eastAsia="宋体" w:cs="宋体"/>
                <w:sz w:val="24"/>
                <w:szCs w:val="24"/>
              </w:rPr>
            </w:pPr>
            <w:r>
              <w:rPr>
                <w:rFonts w:ascii="宋体" w:hAnsi="宋体" w:eastAsia="宋体" w:cs="宋体"/>
                <w:kern w:val="2"/>
                <w:sz w:val="24"/>
                <w:szCs w:val="24"/>
                <w:lang w:bidi="ar-SA"/>
              </w:rPr>
              <w:t>公司当前最</w:t>
            </w:r>
            <w:r>
              <w:rPr>
                <w:rFonts w:hint="eastAsia" w:ascii="宋体" w:hAnsi="宋体" w:cs="宋体"/>
                <w:kern w:val="2"/>
                <w:sz w:val="24"/>
                <w:szCs w:val="24"/>
                <w:lang w:val="en-US" w:eastAsia="zh-CN" w:bidi="ar-SA"/>
              </w:rPr>
              <w:t>主</w:t>
            </w:r>
            <w:r>
              <w:rPr>
                <w:rFonts w:ascii="宋体" w:hAnsi="宋体" w:eastAsia="宋体" w:cs="宋体"/>
                <w:kern w:val="2"/>
                <w:sz w:val="24"/>
                <w:szCs w:val="24"/>
                <w:lang w:bidi="ar-SA"/>
              </w:rPr>
              <w:t>要的资本支出为海外工厂建设费用</w:t>
            </w:r>
            <w:r>
              <w:rPr>
                <w:rFonts w:hint="eastAsia" w:ascii="宋体" w:hAnsi="宋体" w:eastAsia="宋体" w:cs="宋体"/>
                <w:sz w:val="24"/>
                <w:szCs w:val="24"/>
              </w:rPr>
              <w:t>，其中涉及到新设工厂建设及工厂扩建开支</w:t>
            </w:r>
            <w:bookmarkStart w:id="0" w:name="_GoBack"/>
            <w:bookmarkEnd w:id="0"/>
            <w:r>
              <w:rPr>
                <w:rFonts w:hint="eastAsia" w:ascii="宋体" w:hAnsi="宋体" w:eastAsia="宋体" w:cs="宋体"/>
                <w:sz w:val="24"/>
                <w:szCs w:val="24"/>
              </w:rPr>
              <w:t>，线缆行业前期建设资金投入占比不大，主要为后期流动资金占用需求。公司各海外工厂的建设情况主要依据公司整体发展战略，公司充分协同公司内部资源以及资金资源进行建设，并将继续践行“国内与国外市场并重，发达国家与新兴市场同步发展”的全球化战略布局，保持公司在全球市场的竞争力。</w:t>
            </w:r>
          </w:p>
          <w:p w14:paraId="4183A6C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3、公司在海内外协同管理方面有什么经验？</w:t>
            </w:r>
          </w:p>
          <w:p w14:paraId="2844D2B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海内外协同管理是一个复杂而多维的任务，它涉及到多个层面和策略。首先需要公司制度保障，公司目前已经建立了比较完善的海内外管理制度进行公司治理，在制度层面保证公司协同发展；此外，公司还致力于强化远程协作能力，通过优化公司内部系统及多样化工具使用确保团队成员之间的无缝连接和高效协作；公司还在文化建设方面进行努力，开设葡萄牙语、西班牙语、韩语等课程，促进团队成员之间的沟通与理解。</w:t>
            </w:r>
          </w:p>
          <w:p w14:paraId="77AE677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4、目前海运费情况如何？</w:t>
            </w:r>
          </w:p>
          <w:p w14:paraId="7B1B457C">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目前运费情况基本稳定，比前期有一定的价格回落。公司海外业务广泛，具体的运费承担方主要依据和客户签订的合同约定，且合约价格也会依据海运费实际情况进行调整。</w:t>
            </w:r>
          </w:p>
          <w:p w14:paraId="1C4CC9C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5、公司目前的回购方案进展如何？</w:t>
            </w:r>
          </w:p>
          <w:p w14:paraId="0614597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已经于2024年11月25日召开2024年第四次临时股东大会审议通过了《关于以集中竞价交易方式回购公司股份方案的议案》方案。截止2024年11月底，公司暂未实施股份回购，目前回购方案正在按照计划进行，公司将会按照相关信息披露要求及时发布回购进展公告。</w:t>
            </w:r>
          </w:p>
          <w:p w14:paraId="12CAD60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二、风险提示</w:t>
            </w:r>
          </w:p>
          <w:p w14:paraId="0A80716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sz w:val="24"/>
                <w:szCs w:val="24"/>
              </w:rPr>
            </w:pPr>
            <w:r>
              <w:rPr>
                <w:rFonts w:hint="eastAsia" w:ascii="宋体" w:hAnsi="宋体" w:eastAsia="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2024年</w:t>
            </w:r>
            <w:r>
              <w:rPr>
                <w:rFonts w:ascii="宋体" w:hAnsi="宋体"/>
                <w:bCs/>
                <w:iCs/>
                <w:color w:val="000000"/>
                <w:sz w:val="24"/>
                <w:szCs w:val="24"/>
              </w:rPr>
              <w:t>1</w:t>
            </w:r>
            <w:r>
              <w:rPr>
                <w:rFonts w:hint="eastAsia" w:ascii="宋体" w:hAnsi="宋体"/>
                <w:bCs/>
                <w:iCs/>
                <w:color w:val="000000"/>
                <w:sz w:val="24"/>
                <w:szCs w:val="24"/>
                <w:lang w:val="en-US" w:eastAsia="zh-CN"/>
              </w:rPr>
              <w:t>2</w:t>
            </w:r>
            <w:r>
              <w:rPr>
                <w:rFonts w:hint="eastAsia" w:ascii="宋体" w:hAnsi="宋体"/>
                <w:bCs/>
                <w:iCs/>
                <w:color w:val="000000"/>
                <w:sz w:val="24"/>
                <w:szCs w:val="24"/>
              </w:rPr>
              <w:t>月</w:t>
            </w:r>
            <w:r>
              <w:rPr>
                <w:rFonts w:hint="eastAsia" w:ascii="宋体" w:hAnsi="宋体"/>
                <w:bCs/>
                <w:iCs/>
                <w:color w:val="000000"/>
                <w:sz w:val="24"/>
                <w:szCs w:val="24"/>
                <w:lang w:val="en-US" w:eastAsia="zh-CN"/>
              </w:rPr>
              <w:t>11</w:t>
            </w:r>
            <w:r>
              <w:rPr>
                <w:rFonts w:hint="eastAsia" w:ascii="宋体" w:hAnsi="宋体"/>
                <w:bCs/>
                <w:iCs/>
                <w:color w:val="000000"/>
                <w:sz w:val="24"/>
                <w:szCs w:val="24"/>
              </w:rPr>
              <w:t>日</w:t>
            </w:r>
          </w:p>
        </w:tc>
      </w:tr>
    </w:tbl>
    <w:p w14:paraId="60D70660">
      <w:pPr>
        <w:keepNext w:val="0"/>
        <w:keepLines w:val="0"/>
        <w:pageBreakBefore w:val="0"/>
        <w:widowControl w:val="0"/>
        <w:kinsoku/>
        <w:wordWrap/>
        <w:overflowPunct/>
        <w:topLinePunct w:val="0"/>
        <w:autoSpaceDE/>
        <w:autoSpaceDN/>
        <w:bidi w:val="0"/>
        <w:adjustRightInd/>
        <w:snapToGrid/>
        <w:spacing w:before="157" w:beforeLines="50" w:line="360" w:lineRule="auto"/>
        <w:ind w:firstLine="440" w:firstLineChars="200"/>
        <w:textAlignment w:val="auto"/>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30402"/>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E1E3B"/>
    <w:rsid w:val="000E67A1"/>
    <w:rsid w:val="000F46FA"/>
    <w:rsid w:val="000F5227"/>
    <w:rsid w:val="000F71B4"/>
    <w:rsid w:val="000F7B33"/>
    <w:rsid w:val="00100C69"/>
    <w:rsid w:val="0010400C"/>
    <w:rsid w:val="00110FC5"/>
    <w:rsid w:val="00112311"/>
    <w:rsid w:val="00113A86"/>
    <w:rsid w:val="00114B34"/>
    <w:rsid w:val="00124664"/>
    <w:rsid w:val="00130570"/>
    <w:rsid w:val="001329DD"/>
    <w:rsid w:val="001356FE"/>
    <w:rsid w:val="001357F1"/>
    <w:rsid w:val="001367E0"/>
    <w:rsid w:val="001538E2"/>
    <w:rsid w:val="001573F4"/>
    <w:rsid w:val="00157433"/>
    <w:rsid w:val="00157908"/>
    <w:rsid w:val="0017126A"/>
    <w:rsid w:val="00172A27"/>
    <w:rsid w:val="001738B8"/>
    <w:rsid w:val="00181787"/>
    <w:rsid w:val="00182BFA"/>
    <w:rsid w:val="001A2820"/>
    <w:rsid w:val="001A6560"/>
    <w:rsid w:val="001B175A"/>
    <w:rsid w:val="001B2DCD"/>
    <w:rsid w:val="001B6A0C"/>
    <w:rsid w:val="001C477A"/>
    <w:rsid w:val="001C4A69"/>
    <w:rsid w:val="001D188B"/>
    <w:rsid w:val="001D58AA"/>
    <w:rsid w:val="001E0755"/>
    <w:rsid w:val="001E7CB2"/>
    <w:rsid w:val="001F1E72"/>
    <w:rsid w:val="002008F6"/>
    <w:rsid w:val="00201EAC"/>
    <w:rsid w:val="002124EE"/>
    <w:rsid w:val="00212A15"/>
    <w:rsid w:val="0021672A"/>
    <w:rsid w:val="0022094A"/>
    <w:rsid w:val="002221DB"/>
    <w:rsid w:val="002334E6"/>
    <w:rsid w:val="00233F63"/>
    <w:rsid w:val="00241012"/>
    <w:rsid w:val="002410FD"/>
    <w:rsid w:val="00242D28"/>
    <w:rsid w:val="00243FD0"/>
    <w:rsid w:val="0025322F"/>
    <w:rsid w:val="00260C7D"/>
    <w:rsid w:val="00265EC3"/>
    <w:rsid w:val="0026623B"/>
    <w:rsid w:val="0027297E"/>
    <w:rsid w:val="00274364"/>
    <w:rsid w:val="0027545A"/>
    <w:rsid w:val="00275C7C"/>
    <w:rsid w:val="00277461"/>
    <w:rsid w:val="002879B3"/>
    <w:rsid w:val="002B100F"/>
    <w:rsid w:val="002B2A68"/>
    <w:rsid w:val="002C6489"/>
    <w:rsid w:val="002C7E32"/>
    <w:rsid w:val="002E1F2D"/>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4345"/>
    <w:rsid w:val="004100F6"/>
    <w:rsid w:val="004102D6"/>
    <w:rsid w:val="00410514"/>
    <w:rsid w:val="0041370C"/>
    <w:rsid w:val="00421532"/>
    <w:rsid w:val="00422AA8"/>
    <w:rsid w:val="0042569E"/>
    <w:rsid w:val="004261D1"/>
    <w:rsid w:val="004275B9"/>
    <w:rsid w:val="004329C0"/>
    <w:rsid w:val="00433955"/>
    <w:rsid w:val="00440C64"/>
    <w:rsid w:val="00453754"/>
    <w:rsid w:val="00465B1D"/>
    <w:rsid w:val="0046782B"/>
    <w:rsid w:val="004801CE"/>
    <w:rsid w:val="0048216F"/>
    <w:rsid w:val="0048609A"/>
    <w:rsid w:val="0049142F"/>
    <w:rsid w:val="004A0365"/>
    <w:rsid w:val="004A1871"/>
    <w:rsid w:val="004A45CB"/>
    <w:rsid w:val="004B276B"/>
    <w:rsid w:val="004B3357"/>
    <w:rsid w:val="004B6E7C"/>
    <w:rsid w:val="004C45BF"/>
    <w:rsid w:val="004D4716"/>
    <w:rsid w:val="004E0710"/>
    <w:rsid w:val="004E243F"/>
    <w:rsid w:val="004E556F"/>
    <w:rsid w:val="004E5A0E"/>
    <w:rsid w:val="004F252F"/>
    <w:rsid w:val="004F2952"/>
    <w:rsid w:val="004F542F"/>
    <w:rsid w:val="004F6292"/>
    <w:rsid w:val="004F6B5A"/>
    <w:rsid w:val="004F7D88"/>
    <w:rsid w:val="0050109D"/>
    <w:rsid w:val="00504376"/>
    <w:rsid w:val="00505A9D"/>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57EF"/>
    <w:rsid w:val="006664E6"/>
    <w:rsid w:val="00666EEB"/>
    <w:rsid w:val="0067570B"/>
    <w:rsid w:val="00687555"/>
    <w:rsid w:val="0069230B"/>
    <w:rsid w:val="006A443B"/>
    <w:rsid w:val="006A7034"/>
    <w:rsid w:val="006B5239"/>
    <w:rsid w:val="006C357D"/>
    <w:rsid w:val="006E4E15"/>
    <w:rsid w:val="006F3651"/>
    <w:rsid w:val="006F4CBC"/>
    <w:rsid w:val="006F4EF8"/>
    <w:rsid w:val="006F51DD"/>
    <w:rsid w:val="006F7739"/>
    <w:rsid w:val="00700BA6"/>
    <w:rsid w:val="007047E3"/>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80C68"/>
    <w:rsid w:val="00783868"/>
    <w:rsid w:val="0078395B"/>
    <w:rsid w:val="00784193"/>
    <w:rsid w:val="007907BA"/>
    <w:rsid w:val="00790A5E"/>
    <w:rsid w:val="00790D0F"/>
    <w:rsid w:val="0079233D"/>
    <w:rsid w:val="00793AA6"/>
    <w:rsid w:val="00794D24"/>
    <w:rsid w:val="007965C7"/>
    <w:rsid w:val="007B07C7"/>
    <w:rsid w:val="007B4A25"/>
    <w:rsid w:val="007C744C"/>
    <w:rsid w:val="007D3823"/>
    <w:rsid w:val="007E179A"/>
    <w:rsid w:val="007E21E5"/>
    <w:rsid w:val="007E5149"/>
    <w:rsid w:val="007E53FC"/>
    <w:rsid w:val="007F588F"/>
    <w:rsid w:val="007F5ABE"/>
    <w:rsid w:val="00800B1F"/>
    <w:rsid w:val="00801369"/>
    <w:rsid w:val="00804EA2"/>
    <w:rsid w:val="008207FE"/>
    <w:rsid w:val="008255D0"/>
    <w:rsid w:val="00827ECF"/>
    <w:rsid w:val="0083595C"/>
    <w:rsid w:val="008400DF"/>
    <w:rsid w:val="00842540"/>
    <w:rsid w:val="00844854"/>
    <w:rsid w:val="0084558D"/>
    <w:rsid w:val="00853E04"/>
    <w:rsid w:val="008552A2"/>
    <w:rsid w:val="008604C6"/>
    <w:rsid w:val="00860DBC"/>
    <w:rsid w:val="0087049D"/>
    <w:rsid w:val="00876D0C"/>
    <w:rsid w:val="008828A5"/>
    <w:rsid w:val="00884BB7"/>
    <w:rsid w:val="00892816"/>
    <w:rsid w:val="0089432B"/>
    <w:rsid w:val="008A545F"/>
    <w:rsid w:val="008A595C"/>
    <w:rsid w:val="008A6E8A"/>
    <w:rsid w:val="008A7295"/>
    <w:rsid w:val="008B20EB"/>
    <w:rsid w:val="008B6410"/>
    <w:rsid w:val="008B68F3"/>
    <w:rsid w:val="008C4FF9"/>
    <w:rsid w:val="008C642A"/>
    <w:rsid w:val="008D30FB"/>
    <w:rsid w:val="008D3494"/>
    <w:rsid w:val="008D760F"/>
    <w:rsid w:val="008E1E3E"/>
    <w:rsid w:val="008E5029"/>
    <w:rsid w:val="008F16C2"/>
    <w:rsid w:val="008F7F9D"/>
    <w:rsid w:val="0090038D"/>
    <w:rsid w:val="00907FCC"/>
    <w:rsid w:val="00910570"/>
    <w:rsid w:val="00912BB1"/>
    <w:rsid w:val="009258A8"/>
    <w:rsid w:val="00926952"/>
    <w:rsid w:val="00940C1D"/>
    <w:rsid w:val="00964B42"/>
    <w:rsid w:val="00965650"/>
    <w:rsid w:val="00972788"/>
    <w:rsid w:val="00973717"/>
    <w:rsid w:val="00975188"/>
    <w:rsid w:val="00984670"/>
    <w:rsid w:val="009870EF"/>
    <w:rsid w:val="009958C2"/>
    <w:rsid w:val="00996D8F"/>
    <w:rsid w:val="009A7322"/>
    <w:rsid w:val="009B01A2"/>
    <w:rsid w:val="009B4B04"/>
    <w:rsid w:val="009B6ECB"/>
    <w:rsid w:val="009C3AA1"/>
    <w:rsid w:val="009D09FF"/>
    <w:rsid w:val="009D281F"/>
    <w:rsid w:val="009E3240"/>
    <w:rsid w:val="009E4391"/>
    <w:rsid w:val="009E5AF1"/>
    <w:rsid w:val="009F0C30"/>
    <w:rsid w:val="009F347E"/>
    <w:rsid w:val="00A016B1"/>
    <w:rsid w:val="00A12204"/>
    <w:rsid w:val="00A127BE"/>
    <w:rsid w:val="00A158CF"/>
    <w:rsid w:val="00A3126E"/>
    <w:rsid w:val="00A33842"/>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B018A"/>
    <w:rsid w:val="00AB4407"/>
    <w:rsid w:val="00AC09D8"/>
    <w:rsid w:val="00AC5050"/>
    <w:rsid w:val="00AC6ADB"/>
    <w:rsid w:val="00AC7307"/>
    <w:rsid w:val="00AC754F"/>
    <w:rsid w:val="00AC764D"/>
    <w:rsid w:val="00AD12AF"/>
    <w:rsid w:val="00AE23C8"/>
    <w:rsid w:val="00AE4967"/>
    <w:rsid w:val="00AF060B"/>
    <w:rsid w:val="00AF10A7"/>
    <w:rsid w:val="00AF1271"/>
    <w:rsid w:val="00AF140E"/>
    <w:rsid w:val="00AF2071"/>
    <w:rsid w:val="00B01B35"/>
    <w:rsid w:val="00B10F12"/>
    <w:rsid w:val="00B119F9"/>
    <w:rsid w:val="00B240C1"/>
    <w:rsid w:val="00B242FE"/>
    <w:rsid w:val="00B24550"/>
    <w:rsid w:val="00B27053"/>
    <w:rsid w:val="00B33197"/>
    <w:rsid w:val="00B33985"/>
    <w:rsid w:val="00B36FA6"/>
    <w:rsid w:val="00B51034"/>
    <w:rsid w:val="00B510B0"/>
    <w:rsid w:val="00B52A33"/>
    <w:rsid w:val="00B54D4C"/>
    <w:rsid w:val="00B5518B"/>
    <w:rsid w:val="00B7020D"/>
    <w:rsid w:val="00B73D83"/>
    <w:rsid w:val="00B77B38"/>
    <w:rsid w:val="00B8420F"/>
    <w:rsid w:val="00B84FAA"/>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B13D6"/>
    <w:rsid w:val="00CB2179"/>
    <w:rsid w:val="00CB351E"/>
    <w:rsid w:val="00CB35AC"/>
    <w:rsid w:val="00CC38B6"/>
    <w:rsid w:val="00CC5473"/>
    <w:rsid w:val="00CD2480"/>
    <w:rsid w:val="00CE2EC7"/>
    <w:rsid w:val="00CF3116"/>
    <w:rsid w:val="00CF4255"/>
    <w:rsid w:val="00CF7B5B"/>
    <w:rsid w:val="00D00AFE"/>
    <w:rsid w:val="00D04BBF"/>
    <w:rsid w:val="00D06C71"/>
    <w:rsid w:val="00D06E89"/>
    <w:rsid w:val="00D0709F"/>
    <w:rsid w:val="00D07F32"/>
    <w:rsid w:val="00D12DD3"/>
    <w:rsid w:val="00D15786"/>
    <w:rsid w:val="00D167D0"/>
    <w:rsid w:val="00D20A7C"/>
    <w:rsid w:val="00D210CE"/>
    <w:rsid w:val="00D23341"/>
    <w:rsid w:val="00D266A5"/>
    <w:rsid w:val="00D30D66"/>
    <w:rsid w:val="00D325E6"/>
    <w:rsid w:val="00D350C8"/>
    <w:rsid w:val="00D37555"/>
    <w:rsid w:val="00D408D6"/>
    <w:rsid w:val="00D41556"/>
    <w:rsid w:val="00D43913"/>
    <w:rsid w:val="00D4713B"/>
    <w:rsid w:val="00D56339"/>
    <w:rsid w:val="00D61959"/>
    <w:rsid w:val="00D71190"/>
    <w:rsid w:val="00D779F8"/>
    <w:rsid w:val="00D83D0B"/>
    <w:rsid w:val="00D85695"/>
    <w:rsid w:val="00D872C1"/>
    <w:rsid w:val="00D87F80"/>
    <w:rsid w:val="00D95282"/>
    <w:rsid w:val="00D95910"/>
    <w:rsid w:val="00DA7CF0"/>
    <w:rsid w:val="00DB3242"/>
    <w:rsid w:val="00DC1651"/>
    <w:rsid w:val="00DC61B8"/>
    <w:rsid w:val="00DD7A78"/>
    <w:rsid w:val="00DF68AE"/>
    <w:rsid w:val="00E02EAF"/>
    <w:rsid w:val="00E11DC7"/>
    <w:rsid w:val="00E11E08"/>
    <w:rsid w:val="00E12E9E"/>
    <w:rsid w:val="00E135FC"/>
    <w:rsid w:val="00E14AE2"/>
    <w:rsid w:val="00E30553"/>
    <w:rsid w:val="00E316DA"/>
    <w:rsid w:val="00E4217B"/>
    <w:rsid w:val="00E450AA"/>
    <w:rsid w:val="00E536E4"/>
    <w:rsid w:val="00E54775"/>
    <w:rsid w:val="00E55281"/>
    <w:rsid w:val="00E63BFA"/>
    <w:rsid w:val="00E758C4"/>
    <w:rsid w:val="00E8247C"/>
    <w:rsid w:val="00E83A75"/>
    <w:rsid w:val="00E92508"/>
    <w:rsid w:val="00EA39D4"/>
    <w:rsid w:val="00EA45B2"/>
    <w:rsid w:val="00EB395E"/>
    <w:rsid w:val="00EB69C6"/>
    <w:rsid w:val="00EC4F17"/>
    <w:rsid w:val="00EC53F8"/>
    <w:rsid w:val="00EC5E11"/>
    <w:rsid w:val="00EC66E9"/>
    <w:rsid w:val="00ED0DDE"/>
    <w:rsid w:val="00ED1BA3"/>
    <w:rsid w:val="00ED3531"/>
    <w:rsid w:val="00ED5AC7"/>
    <w:rsid w:val="00EE7323"/>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44D98"/>
    <w:rsid w:val="00F5053B"/>
    <w:rsid w:val="00F63882"/>
    <w:rsid w:val="00F72221"/>
    <w:rsid w:val="00F74113"/>
    <w:rsid w:val="00F778AB"/>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C17413F"/>
    <w:rsid w:val="0C3721AC"/>
    <w:rsid w:val="0CB65903"/>
    <w:rsid w:val="0CB9159D"/>
    <w:rsid w:val="0EDF13E9"/>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50725A"/>
    <w:rsid w:val="1ACA2ABE"/>
    <w:rsid w:val="1AED4E80"/>
    <w:rsid w:val="1AF44089"/>
    <w:rsid w:val="1BE55780"/>
    <w:rsid w:val="1CBF4223"/>
    <w:rsid w:val="1D126A49"/>
    <w:rsid w:val="1D37025D"/>
    <w:rsid w:val="1E1B192D"/>
    <w:rsid w:val="201B5C14"/>
    <w:rsid w:val="20B83463"/>
    <w:rsid w:val="20F10F57"/>
    <w:rsid w:val="218B0B78"/>
    <w:rsid w:val="21A34546"/>
    <w:rsid w:val="21FC002A"/>
    <w:rsid w:val="22050073"/>
    <w:rsid w:val="22B365D8"/>
    <w:rsid w:val="22CA56D0"/>
    <w:rsid w:val="237A3CFD"/>
    <w:rsid w:val="23E822B1"/>
    <w:rsid w:val="23FF584D"/>
    <w:rsid w:val="24831FDA"/>
    <w:rsid w:val="26885C79"/>
    <w:rsid w:val="27090EBD"/>
    <w:rsid w:val="271E5FEA"/>
    <w:rsid w:val="27873FEC"/>
    <w:rsid w:val="27D17500"/>
    <w:rsid w:val="291B6C85"/>
    <w:rsid w:val="2A9C0162"/>
    <w:rsid w:val="2BA946BE"/>
    <w:rsid w:val="2BB4007F"/>
    <w:rsid w:val="2C701096"/>
    <w:rsid w:val="2D6329A9"/>
    <w:rsid w:val="2DD438A6"/>
    <w:rsid w:val="2EA4771D"/>
    <w:rsid w:val="2EB067DF"/>
    <w:rsid w:val="2EC21BE6"/>
    <w:rsid w:val="2F1C7E9A"/>
    <w:rsid w:val="306739E5"/>
    <w:rsid w:val="30A752A2"/>
    <w:rsid w:val="31140B8A"/>
    <w:rsid w:val="31A0241D"/>
    <w:rsid w:val="31B97611"/>
    <w:rsid w:val="323E39E4"/>
    <w:rsid w:val="32412817"/>
    <w:rsid w:val="32B75C71"/>
    <w:rsid w:val="335A1288"/>
    <w:rsid w:val="347D2E82"/>
    <w:rsid w:val="35BC359E"/>
    <w:rsid w:val="35CB558F"/>
    <w:rsid w:val="362B08D8"/>
    <w:rsid w:val="36A22794"/>
    <w:rsid w:val="375673DE"/>
    <w:rsid w:val="38163439"/>
    <w:rsid w:val="39096AFA"/>
    <w:rsid w:val="3AAB14A0"/>
    <w:rsid w:val="3AD06507"/>
    <w:rsid w:val="3B862684"/>
    <w:rsid w:val="3BAE3989"/>
    <w:rsid w:val="3D0733C4"/>
    <w:rsid w:val="3DA42DCB"/>
    <w:rsid w:val="3ED10EB7"/>
    <w:rsid w:val="40491ED2"/>
    <w:rsid w:val="40692574"/>
    <w:rsid w:val="407D712F"/>
    <w:rsid w:val="412C5A7C"/>
    <w:rsid w:val="419B675D"/>
    <w:rsid w:val="42C41CE4"/>
    <w:rsid w:val="43D321DE"/>
    <w:rsid w:val="447C2876"/>
    <w:rsid w:val="4484797D"/>
    <w:rsid w:val="46C92DA7"/>
    <w:rsid w:val="46D86895"/>
    <w:rsid w:val="47076C6D"/>
    <w:rsid w:val="48276F9D"/>
    <w:rsid w:val="48B87BF5"/>
    <w:rsid w:val="495D4A4D"/>
    <w:rsid w:val="499B614F"/>
    <w:rsid w:val="49C10D2B"/>
    <w:rsid w:val="4A7D1CCB"/>
    <w:rsid w:val="4AAF6DD6"/>
    <w:rsid w:val="4B6A7155"/>
    <w:rsid w:val="4BDD2F4F"/>
    <w:rsid w:val="4C474817"/>
    <w:rsid w:val="4C884D42"/>
    <w:rsid w:val="4D77007F"/>
    <w:rsid w:val="4EEC684A"/>
    <w:rsid w:val="4F732AC8"/>
    <w:rsid w:val="4FFB7B14"/>
    <w:rsid w:val="500D1A9A"/>
    <w:rsid w:val="50A65A6D"/>
    <w:rsid w:val="51597A9B"/>
    <w:rsid w:val="520E4D2A"/>
    <w:rsid w:val="52552958"/>
    <w:rsid w:val="52F932E4"/>
    <w:rsid w:val="53733096"/>
    <w:rsid w:val="54F14BBA"/>
    <w:rsid w:val="564F4D48"/>
    <w:rsid w:val="56C43A70"/>
    <w:rsid w:val="57931F59"/>
    <w:rsid w:val="587E1439"/>
    <w:rsid w:val="596040BD"/>
    <w:rsid w:val="5A61633E"/>
    <w:rsid w:val="5AA77AC9"/>
    <w:rsid w:val="5DE3467B"/>
    <w:rsid w:val="5E062D59"/>
    <w:rsid w:val="5E0B0E29"/>
    <w:rsid w:val="5E130209"/>
    <w:rsid w:val="5EEB4428"/>
    <w:rsid w:val="5EF57055"/>
    <w:rsid w:val="5EF7101F"/>
    <w:rsid w:val="5F465B03"/>
    <w:rsid w:val="5F8959EF"/>
    <w:rsid w:val="60206352"/>
    <w:rsid w:val="60C56EFB"/>
    <w:rsid w:val="60C74214"/>
    <w:rsid w:val="60E94F09"/>
    <w:rsid w:val="617B530A"/>
    <w:rsid w:val="617F3A95"/>
    <w:rsid w:val="624E7B5D"/>
    <w:rsid w:val="625642AF"/>
    <w:rsid w:val="64267CB1"/>
    <w:rsid w:val="64A57817"/>
    <w:rsid w:val="65EA4BC1"/>
    <w:rsid w:val="65F8567D"/>
    <w:rsid w:val="66A7157D"/>
    <w:rsid w:val="671309C0"/>
    <w:rsid w:val="684F4465"/>
    <w:rsid w:val="693E3CEF"/>
    <w:rsid w:val="69676DA1"/>
    <w:rsid w:val="6A0E64AD"/>
    <w:rsid w:val="6A3D1DC1"/>
    <w:rsid w:val="6A486BD3"/>
    <w:rsid w:val="6B9F679B"/>
    <w:rsid w:val="6BA51E03"/>
    <w:rsid w:val="6BD83F86"/>
    <w:rsid w:val="6C411B2C"/>
    <w:rsid w:val="6DE9247B"/>
    <w:rsid w:val="6E511DCE"/>
    <w:rsid w:val="6F8561D3"/>
    <w:rsid w:val="70875F7B"/>
    <w:rsid w:val="70CB40BA"/>
    <w:rsid w:val="71593E5C"/>
    <w:rsid w:val="719374FA"/>
    <w:rsid w:val="72A162F1"/>
    <w:rsid w:val="73506AF8"/>
    <w:rsid w:val="73D414D7"/>
    <w:rsid w:val="743326A2"/>
    <w:rsid w:val="74943AA6"/>
    <w:rsid w:val="74950D3A"/>
    <w:rsid w:val="7535244A"/>
    <w:rsid w:val="755C3532"/>
    <w:rsid w:val="75761AAE"/>
    <w:rsid w:val="75D04E21"/>
    <w:rsid w:val="76EE202B"/>
    <w:rsid w:val="77D9075A"/>
    <w:rsid w:val="77ED5A40"/>
    <w:rsid w:val="77ED700C"/>
    <w:rsid w:val="78203570"/>
    <w:rsid w:val="786F17CF"/>
    <w:rsid w:val="795D3D1D"/>
    <w:rsid w:val="796926C2"/>
    <w:rsid w:val="79FC3536"/>
    <w:rsid w:val="7A7C2861"/>
    <w:rsid w:val="7A9279F6"/>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1220</Words>
  <Characters>1267</Characters>
  <Lines>11</Lines>
  <Paragraphs>3</Paragraphs>
  <TotalTime>63</TotalTime>
  <ScaleCrop>false</ScaleCrop>
  <LinksUpToDate>false</LinksUpToDate>
  <CharactersWithSpaces>1389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2024-12-11T07:56:45Z</dcterms:modified>
  <cp:revision>730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D445F8B48171439796851707025EFD4F_13</vt:lpwstr>
  </property>
</Properties>
</file>