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EF1CB" w14:textId="77777777" w:rsidR="00656431" w:rsidRDefault="00B03F31">
      <w:pPr>
        <w:ind w:firstLineChars="200" w:firstLine="562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福建顶点软件股份有限公司</w:t>
      </w:r>
    </w:p>
    <w:p w14:paraId="5E2EC7B8" w14:textId="77777777" w:rsidR="00656431" w:rsidRDefault="00B03F31">
      <w:pPr>
        <w:ind w:firstLineChars="200" w:firstLine="562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投资者关系活动记录表</w:t>
      </w:r>
    </w:p>
    <w:p w14:paraId="7018A880" w14:textId="73204C63" w:rsidR="00656431" w:rsidRDefault="00B03F31" w:rsidP="00ED63F1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证券简称：顶点软件       证券代码：603383     编号：20</w:t>
      </w:r>
      <w:r>
        <w:rPr>
          <w:rFonts w:asciiTheme="minorEastAsia" w:hAnsiTheme="minorEastAsia"/>
          <w:sz w:val="28"/>
          <w:szCs w:val="28"/>
        </w:rPr>
        <w:t>2</w:t>
      </w:r>
      <w:r w:rsidR="00DE212A">
        <w:rPr>
          <w:rFonts w:asciiTheme="minorEastAsia" w:hAnsiTheme="minor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-</w:t>
      </w:r>
      <w:r>
        <w:rPr>
          <w:rFonts w:asciiTheme="minorEastAsia" w:hAnsiTheme="minorEastAsia"/>
          <w:sz w:val="28"/>
          <w:szCs w:val="28"/>
        </w:rPr>
        <w:t>0</w:t>
      </w:r>
      <w:r w:rsidR="00A215D8" w:rsidRPr="0038554A">
        <w:rPr>
          <w:rFonts w:asciiTheme="minorEastAsia" w:hAnsiTheme="minorEastAsia"/>
          <w:sz w:val="28"/>
          <w:szCs w:val="28"/>
        </w:rPr>
        <w:t>0</w:t>
      </w:r>
      <w:r w:rsidR="00B33E37">
        <w:rPr>
          <w:rFonts w:asciiTheme="minorEastAsia" w:hAnsiTheme="minorEastAsia" w:hint="eastAsia"/>
          <w:sz w:val="28"/>
          <w:szCs w:val="28"/>
        </w:rPr>
        <w:t>7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696"/>
        <w:gridCol w:w="6946"/>
      </w:tblGrid>
      <w:tr w:rsidR="00656431" w14:paraId="27660C63" w14:textId="77777777" w:rsidTr="007664DC">
        <w:trPr>
          <w:trHeight w:val="624"/>
        </w:trPr>
        <w:tc>
          <w:tcPr>
            <w:tcW w:w="1696" w:type="dxa"/>
            <w:vMerge w:val="restart"/>
            <w:noWrap/>
            <w:vAlign w:val="center"/>
          </w:tcPr>
          <w:p w14:paraId="7D051B20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投资者关系活动类别</w:t>
            </w:r>
          </w:p>
        </w:tc>
        <w:tc>
          <w:tcPr>
            <w:tcW w:w="6946" w:type="dxa"/>
            <w:vMerge w:val="restart"/>
          </w:tcPr>
          <w:p w14:paraId="47EE98BB" w14:textId="4BC4B74D" w:rsidR="00656431" w:rsidRDefault="00B03F3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sym w:font="Wingdings 2" w:char="F052"/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特定对象调研 </w:t>
            </w:r>
            <w:r w:rsidR="00ED7938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分析师会议 □媒体采访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br/>
            </w:r>
            <w:r w:rsidR="00ED7938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业绩说明会 □新闻发布会 □路演活动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br/>
            </w:r>
            <w:r w:rsidR="0074008C" w:rsidRPr="0074008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现场参观 </w:t>
            </w:r>
            <w:r w:rsidR="006E5F63" w:rsidRPr="006E5F63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其他</w:t>
            </w:r>
            <w:r w:rsidR="003537C8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</w:tc>
      </w:tr>
      <w:tr w:rsidR="00656431" w14:paraId="48A0C3A6" w14:textId="77777777" w:rsidTr="007664DC">
        <w:trPr>
          <w:trHeight w:val="624"/>
        </w:trPr>
        <w:tc>
          <w:tcPr>
            <w:tcW w:w="1696" w:type="dxa"/>
            <w:vMerge/>
            <w:vAlign w:val="center"/>
          </w:tcPr>
          <w:p w14:paraId="10F5EC43" w14:textId="77777777" w:rsidR="00656431" w:rsidRDefault="00656431">
            <w:pPr>
              <w:ind w:firstLineChars="200" w:firstLine="560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14:paraId="457585F4" w14:textId="77777777" w:rsidR="00656431" w:rsidRDefault="00656431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656431" w14:paraId="05A8231C" w14:textId="77777777" w:rsidTr="007664DC">
        <w:trPr>
          <w:trHeight w:val="624"/>
        </w:trPr>
        <w:tc>
          <w:tcPr>
            <w:tcW w:w="1696" w:type="dxa"/>
            <w:vMerge/>
            <w:vAlign w:val="center"/>
          </w:tcPr>
          <w:p w14:paraId="5A7E8142" w14:textId="77777777" w:rsidR="00656431" w:rsidRDefault="00656431">
            <w:pPr>
              <w:ind w:firstLineChars="200" w:firstLine="560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14:paraId="4231A588" w14:textId="77777777" w:rsidR="00656431" w:rsidRDefault="00656431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656431" w14:paraId="276AD6F5" w14:textId="77777777" w:rsidTr="007664DC">
        <w:trPr>
          <w:trHeight w:val="557"/>
        </w:trPr>
        <w:tc>
          <w:tcPr>
            <w:tcW w:w="1696" w:type="dxa"/>
            <w:noWrap/>
            <w:vAlign w:val="center"/>
          </w:tcPr>
          <w:p w14:paraId="1E578E57" w14:textId="77777777" w:rsidR="00656431" w:rsidRDefault="006564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  <w:p w14:paraId="2E961818" w14:textId="76962D50" w:rsidR="00656431" w:rsidRDefault="00B03F31" w:rsidP="00AE5713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参与</w:t>
            </w:r>
            <w:r w:rsidR="00862D67">
              <w:rPr>
                <w:rFonts w:asciiTheme="minorEastAsia" w:hAnsiTheme="minorEastAsia" w:hint="eastAsia"/>
                <w:bCs/>
                <w:sz w:val="28"/>
                <w:szCs w:val="28"/>
              </w:rPr>
              <w:t>时间</w:t>
            </w:r>
            <w:r w:rsidR="004372B7">
              <w:rPr>
                <w:rFonts w:asciiTheme="minorEastAsia" w:hAnsiTheme="minorEastAsia" w:hint="eastAsia"/>
                <w:bCs/>
                <w:sz w:val="28"/>
                <w:szCs w:val="28"/>
              </w:rPr>
              <w:t>和</w:t>
            </w:r>
            <w:r w:rsidR="00862D67">
              <w:rPr>
                <w:rFonts w:asciiTheme="minorEastAsia" w:hAnsiTheme="minorEastAsia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6946" w:type="dxa"/>
            <w:noWrap/>
          </w:tcPr>
          <w:p w14:paraId="161C888C" w14:textId="7ADF8EF3" w:rsidR="00B33E37" w:rsidRDefault="00B33E37" w:rsidP="00691239">
            <w:pP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bookmarkStart w:id="0" w:name="_Hlk91083538"/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2024年11月26日</w:t>
            </w:r>
          </w:p>
          <w:p w14:paraId="46B89CA0" w14:textId="62F718A1" w:rsidR="00B33E37" w:rsidRPr="00B33E37" w:rsidRDefault="00B33E37" w:rsidP="00757CBA">
            <w:pPr>
              <w:ind w:firstLineChars="100" w:firstLine="240"/>
              <w:rPr>
                <w:sz w:val="24"/>
                <w:szCs w:val="24"/>
              </w:rPr>
            </w:pPr>
            <w:r w:rsidRPr="00B33E37">
              <w:rPr>
                <w:rFonts w:hint="eastAsia"/>
                <w:sz w:val="24"/>
                <w:szCs w:val="24"/>
              </w:rPr>
              <w:t>国</w:t>
            </w:r>
            <w:proofErr w:type="gramStart"/>
            <w:r w:rsidRPr="00B33E37">
              <w:rPr>
                <w:rFonts w:hint="eastAsia"/>
                <w:sz w:val="24"/>
                <w:szCs w:val="24"/>
              </w:rPr>
              <w:t>海证券</w:t>
            </w:r>
            <w:r w:rsidRPr="00B33E37">
              <w:rPr>
                <w:rFonts w:hint="eastAsia"/>
                <w:sz w:val="24"/>
                <w:szCs w:val="24"/>
              </w:rPr>
              <w:t xml:space="preserve">  </w:t>
            </w:r>
            <w:r w:rsidRPr="00B33E37">
              <w:rPr>
                <w:rFonts w:hint="eastAsia"/>
                <w:sz w:val="24"/>
                <w:szCs w:val="24"/>
              </w:rPr>
              <w:t>孙嘉</w:t>
            </w:r>
            <w:proofErr w:type="gramEnd"/>
            <w:r w:rsidRPr="00B33E37">
              <w:rPr>
                <w:rFonts w:hint="eastAsia"/>
                <w:sz w:val="24"/>
                <w:szCs w:val="24"/>
              </w:rPr>
              <w:t>庚</w:t>
            </w:r>
          </w:p>
          <w:p w14:paraId="7215FDF2" w14:textId="79ED0D1A" w:rsidR="00691239" w:rsidRDefault="00EB7589" w:rsidP="00691239">
            <w:pP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 w:rsidRPr="00EB75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202</w:t>
            </w:r>
            <w:r w:rsidR="006E5F63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4</w:t>
            </w:r>
            <w:r w:rsidRPr="00EB75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年</w:t>
            </w:r>
            <w:r w:rsidR="00B33E37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11</w:t>
            </w:r>
            <w:r w:rsidRPr="00EB75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月</w:t>
            </w:r>
            <w:r w:rsidR="00B33E37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27</w:t>
            </w:r>
            <w:r w:rsidRPr="00EB75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sz w:val="28"/>
                <w:szCs w:val="28"/>
              </w:rPr>
              <w:t xml:space="preserve">   </w:t>
            </w:r>
            <w:r w:rsidR="00DE212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现场会议</w:t>
            </w:r>
          </w:p>
          <w:p w14:paraId="381E9F01" w14:textId="77777777" w:rsidR="00B33E37" w:rsidRDefault="00DE212A" w:rsidP="00834992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6E5F63" w:rsidRPr="00AE5713">
              <w:rPr>
                <w:rFonts w:hint="eastAsia"/>
                <w:sz w:val="24"/>
                <w:szCs w:val="24"/>
              </w:rPr>
              <w:t xml:space="preserve"> </w:t>
            </w:r>
            <w:r w:rsidR="00B33E37">
              <w:rPr>
                <w:rFonts w:hint="eastAsia"/>
                <w:sz w:val="24"/>
                <w:szCs w:val="24"/>
              </w:rPr>
              <w:t>兴业证券</w:t>
            </w:r>
            <w:r w:rsidR="00B33E37">
              <w:rPr>
                <w:rFonts w:hint="eastAsia"/>
                <w:sz w:val="24"/>
                <w:szCs w:val="24"/>
              </w:rPr>
              <w:t xml:space="preserve">  </w:t>
            </w:r>
            <w:r w:rsidR="00B33E37">
              <w:rPr>
                <w:rFonts w:hint="eastAsia"/>
                <w:sz w:val="24"/>
                <w:szCs w:val="24"/>
              </w:rPr>
              <w:t>蒋佳霖</w:t>
            </w:r>
          </w:p>
          <w:p w14:paraId="32DCCE6F" w14:textId="77777777" w:rsidR="00B33E37" w:rsidRDefault="006E787A" w:rsidP="008349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B33E37">
              <w:rPr>
                <w:rFonts w:hint="eastAsia"/>
                <w:sz w:val="24"/>
                <w:szCs w:val="24"/>
              </w:rPr>
              <w:t>前海开源基金</w:t>
            </w:r>
            <w:r w:rsidR="00B33E37">
              <w:rPr>
                <w:rFonts w:hint="eastAsia"/>
                <w:sz w:val="24"/>
                <w:szCs w:val="24"/>
              </w:rPr>
              <w:t xml:space="preserve"> </w:t>
            </w:r>
            <w:r w:rsidR="00B33E37">
              <w:rPr>
                <w:rFonts w:hint="eastAsia"/>
                <w:sz w:val="24"/>
                <w:szCs w:val="24"/>
              </w:rPr>
              <w:t>梁策</w:t>
            </w:r>
          </w:p>
          <w:p w14:paraId="6B23DD22" w14:textId="5B54E4AF" w:rsidR="00B33E37" w:rsidRDefault="00B33E37" w:rsidP="006E787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华夏基金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800330">
              <w:rPr>
                <w:rFonts w:hint="eastAsia"/>
                <w:sz w:val="24"/>
                <w:szCs w:val="24"/>
              </w:rPr>
              <w:t>郭</w:t>
            </w:r>
            <w:r w:rsidR="00800330" w:rsidRPr="00800330">
              <w:rPr>
                <w:rFonts w:hint="eastAsia"/>
                <w:sz w:val="24"/>
                <w:szCs w:val="24"/>
              </w:rPr>
              <w:t>琨研</w:t>
            </w:r>
          </w:p>
          <w:p w14:paraId="3D83F79C" w14:textId="77777777" w:rsidR="00FB2E18" w:rsidRDefault="00FB2E18" w:rsidP="006E787A">
            <w:pPr>
              <w:ind w:firstLineChars="100" w:firstLine="240"/>
              <w:rPr>
                <w:sz w:val="24"/>
                <w:szCs w:val="24"/>
              </w:rPr>
            </w:pPr>
          </w:p>
          <w:p w14:paraId="217D63D0" w14:textId="671DB671" w:rsidR="00FB2E18" w:rsidRDefault="006E787A" w:rsidP="006E787A">
            <w:pP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 w:rsidRPr="006E787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2024年</w:t>
            </w:r>
            <w:r w:rsidR="00B33E37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12</w:t>
            </w:r>
            <w:r w:rsidRPr="006E787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月</w:t>
            </w:r>
            <w:r w:rsidR="00B33E37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11</w:t>
            </w:r>
            <w:r w:rsidRPr="006E787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    现场会议</w:t>
            </w:r>
          </w:p>
          <w:p w14:paraId="7E609302" w14:textId="77777777" w:rsidR="00920E34" w:rsidRPr="00920E34" w:rsidRDefault="00920E34" w:rsidP="00920E34">
            <w:pPr>
              <w:ind w:firstLineChars="100" w:firstLine="240"/>
              <w:rPr>
                <w:sz w:val="24"/>
                <w:szCs w:val="24"/>
              </w:rPr>
            </w:pPr>
            <w:r w:rsidRPr="00920E34">
              <w:rPr>
                <w:rFonts w:hint="eastAsia"/>
                <w:sz w:val="24"/>
                <w:szCs w:val="24"/>
              </w:rPr>
              <w:t>富达基金</w:t>
            </w:r>
            <w:r w:rsidRPr="00920E34">
              <w:rPr>
                <w:rFonts w:hint="eastAsia"/>
                <w:sz w:val="24"/>
                <w:szCs w:val="24"/>
              </w:rPr>
              <w:t xml:space="preserve"> </w:t>
            </w:r>
            <w:r w:rsidRPr="00920E34">
              <w:rPr>
                <w:rFonts w:hint="eastAsia"/>
                <w:sz w:val="24"/>
                <w:szCs w:val="24"/>
              </w:rPr>
              <w:t>陈月桥</w:t>
            </w:r>
          </w:p>
          <w:p w14:paraId="59F4A3F8" w14:textId="77777777" w:rsidR="00920E34" w:rsidRPr="00920E34" w:rsidRDefault="00920E34" w:rsidP="00920E34">
            <w:pPr>
              <w:ind w:firstLineChars="100" w:firstLine="240"/>
              <w:rPr>
                <w:sz w:val="24"/>
                <w:szCs w:val="24"/>
              </w:rPr>
            </w:pPr>
            <w:r w:rsidRPr="00920E34">
              <w:rPr>
                <w:rFonts w:hint="eastAsia"/>
                <w:sz w:val="24"/>
                <w:szCs w:val="24"/>
              </w:rPr>
              <w:t>高</w:t>
            </w:r>
            <w:proofErr w:type="gramStart"/>
            <w:r w:rsidRPr="00920E34">
              <w:rPr>
                <w:rFonts w:hint="eastAsia"/>
                <w:sz w:val="24"/>
                <w:szCs w:val="24"/>
              </w:rPr>
              <w:t>盛资管</w:t>
            </w:r>
            <w:proofErr w:type="gramEnd"/>
            <w:r w:rsidRPr="00920E34">
              <w:rPr>
                <w:rFonts w:hint="eastAsia"/>
                <w:sz w:val="24"/>
                <w:szCs w:val="24"/>
              </w:rPr>
              <w:t xml:space="preserve"> </w:t>
            </w:r>
            <w:r w:rsidRPr="00920E34">
              <w:rPr>
                <w:rFonts w:hint="eastAsia"/>
                <w:sz w:val="24"/>
                <w:szCs w:val="24"/>
              </w:rPr>
              <w:t>侯炜</w:t>
            </w:r>
          </w:p>
          <w:p w14:paraId="19433ED5" w14:textId="77777777" w:rsidR="00920E34" w:rsidRPr="00920E34" w:rsidRDefault="00920E34" w:rsidP="00920E34">
            <w:pPr>
              <w:ind w:firstLineChars="100" w:firstLine="240"/>
              <w:rPr>
                <w:sz w:val="24"/>
                <w:szCs w:val="24"/>
              </w:rPr>
            </w:pPr>
            <w:r w:rsidRPr="00920E34">
              <w:rPr>
                <w:rFonts w:hint="eastAsia"/>
                <w:sz w:val="24"/>
                <w:szCs w:val="24"/>
              </w:rPr>
              <w:t>华泰柏瑞</w:t>
            </w:r>
            <w:r w:rsidRPr="00920E34">
              <w:rPr>
                <w:rFonts w:hint="eastAsia"/>
                <w:sz w:val="24"/>
                <w:szCs w:val="24"/>
              </w:rPr>
              <w:t xml:space="preserve"> </w:t>
            </w:r>
            <w:r w:rsidRPr="00920E34">
              <w:rPr>
                <w:rFonts w:hint="eastAsia"/>
                <w:sz w:val="24"/>
                <w:szCs w:val="24"/>
              </w:rPr>
              <w:t>陈碧野</w:t>
            </w:r>
          </w:p>
          <w:p w14:paraId="43CE2DC5" w14:textId="6C022A38" w:rsidR="00920E34" w:rsidRPr="00920E34" w:rsidRDefault="00920E34" w:rsidP="00920E34">
            <w:pPr>
              <w:ind w:firstLineChars="100" w:firstLine="240"/>
              <w:rPr>
                <w:sz w:val="24"/>
                <w:szCs w:val="24"/>
              </w:rPr>
            </w:pPr>
            <w:r w:rsidRPr="00920E34">
              <w:rPr>
                <w:rFonts w:hint="eastAsia"/>
                <w:sz w:val="24"/>
                <w:szCs w:val="24"/>
              </w:rPr>
              <w:t>易方达</w:t>
            </w:r>
            <w:r w:rsidRPr="00920E3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920E34">
              <w:rPr>
                <w:rFonts w:hint="eastAsia"/>
                <w:sz w:val="24"/>
                <w:szCs w:val="24"/>
              </w:rPr>
              <w:t>姚欢宸</w:t>
            </w:r>
          </w:p>
          <w:p w14:paraId="57BEC7D7" w14:textId="77777777" w:rsidR="00920E34" w:rsidRPr="00920E34" w:rsidRDefault="00920E34" w:rsidP="00920E34">
            <w:pPr>
              <w:ind w:firstLineChars="100" w:firstLine="240"/>
              <w:rPr>
                <w:sz w:val="24"/>
                <w:szCs w:val="24"/>
              </w:rPr>
            </w:pPr>
            <w:proofErr w:type="gramStart"/>
            <w:r w:rsidRPr="00920E34">
              <w:rPr>
                <w:rFonts w:hint="eastAsia"/>
                <w:sz w:val="24"/>
                <w:szCs w:val="24"/>
              </w:rPr>
              <w:t>腾讯投资</w:t>
            </w:r>
            <w:proofErr w:type="gramEnd"/>
            <w:r w:rsidRPr="00920E34">
              <w:rPr>
                <w:rFonts w:hint="eastAsia"/>
                <w:sz w:val="24"/>
                <w:szCs w:val="24"/>
              </w:rPr>
              <w:t xml:space="preserve"> </w:t>
            </w:r>
            <w:r w:rsidRPr="00920E34">
              <w:rPr>
                <w:rFonts w:hint="eastAsia"/>
                <w:sz w:val="24"/>
                <w:szCs w:val="24"/>
              </w:rPr>
              <w:t>刘逸琨</w:t>
            </w:r>
          </w:p>
          <w:p w14:paraId="6609F78D" w14:textId="4D0564D0" w:rsidR="000D036F" w:rsidRPr="00FB2E18" w:rsidRDefault="00920E34" w:rsidP="00920E34">
            <w:pPr>
              <w:ind w:firstLineChars="100" w:firstLine="240"/>
              <w:rPr>
                <w:sz w:val="24"/>
                <w:szCs w:val="24"/>
              </w:rPr>
            </w:pPr>
            <w:r w:rsidRPr="00920E34">
              <w:rPr>
                <w:rFonts w:hint="eastAsia"/>
                <w:sz w:val="24"/>
                <w:szCs w:val="24"/>
              </w:rPr>
              <w:t>中金公司</w:t>
            </w:r>
            <w:r w:rsidRPr="00920E34">
              <w:rPr>
                <w:rFonts w:hint="eastAsia"/>
                <w:sz w:val="24"/>
                <w:szCs w:val="24"/>
              </w:rPr>
              <w:t xml:space="preserve"> </w:t>
            </w:r>
            <w:r w:rsidRPr="00920E34">
              <w:rPr>
                <w:rFonts w:hint="eastAsia"/>
                <w:sz w:val="24"/>
                <w:szCs w:val="24"/>
              </w:rPr>
              <w:t>魏</w:t>
            </w:r>
            <w:proofErr w:type="gramStart"/>
            <w:r w:rsidRPr="00920E34">
              <w:rPr>
                <w:rFonts w:hint="eastAsia"/>
                <w:sz w:val="24"/>
                <w:szCs w:val="24"/>
              </w:rPr>
              <w:t>鹳霏</w:t>
            </w:r>
            <w:proofErr w:type="gramEnd"/>
            <w:r w:rsidRPr="00920E34">
              <w:rPr>
                <w:rFonts w:hint="eastAsia"/>
                <w:sz w:val="24"/>
                <w:szCs w:val="24"/>
              </w:rPr>
              <w:t xml:space="preserve"> </w:t>
            </w:r>
            <w:r w:rsidRPr="00920E34">
              <w:rPr>
                <w:rFonts w:hint="eastAsia"/>
                <w:sz w:val="24"/>
                <w:szCs w:val="24"/>
              </w:rPr>
              <w:t>车姝韵</w:t>
            </w:r>
            <w:r w:rsidR="00A64DBE" w:rsidRPr="00AE5713">
              <w:rPr>
                <w:sz w:val="24"/>
                <w:szCs w:val="24"/>
              </w:rPr>
              <w:t xml:space="preserve">     </w:t>
            </w:r>
            <w:bookmarkEnd w:id="0"/>
            <w:r w:rsidR="00D4474F" w:rsidRPr="00AE5713">
              <w:rPr>
                <w:sz w:val="24"/>
                <w:szCs w:val="24"/>
              </w:rPr>
              <w:t xml:space="preserve">                  </w:t>
            </w:r>
            <w:r w:rsidR="00D4474F">
              <w:t xml:space="preserve">            </w:t>
            </w:r>
          </w:p>
        </w:tc>
      </w:tr>
      <w:tr w:rsidR="00656431" w14:paraId="2017135C" w14:textId="77777777" w:rsidTr="007664DC">
        <w:trPr>
          <w:trHeight w:val="285"/>
        </w:trPr>
        <w:tc>
          <w:tcPr>
            <w:tcW w:w="1696" w:type="dxa"/>
            <w:noWrap/>
            <w:vAlign w:val="center"/>
          </w:tcPr>
          <w:p w14:paraId="6584B4BF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地点</w:t>
            </w:r>
          </w:p>
        </w:tc>
        <w:tc>
          <w:tcPr>
            <w:tcW w:w="6946" w:type="dxa"/>
            <w:noWrap/>
          </w:tcPr>
          <w:p w14:paraId="2F16FDE5" w14:textId="079EA02E" w:rsidR="00656431" w:rsidRDefault="00B03F31" w:rsidP="00DE212A">
            <w:pPr>
              <w:ind w:firstLineChars="700" w:firstLine="19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公司会议室</w:t>
            </w:r>
          </w:p>
        </w:tc>
      </w:tr>
      <w:tr w:rsidR="00656431" w14:paraId="43300DEE" w14:textId="77777777" w:rsidTr="007664DC">
        <w:trPr>
          <w:trHeight w:val="285"/>
        </w:trPr>
        <w:tc>
          <w:tcPr>
            <w:tcW w:w="1696" w:type="dxa"/>
            <w:noWrap/>
            <w:vAlign w:val="center"/>
          </w:tcPr>
          <w:p w14:paraId="304E69BE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公司接待人员姓名</w:t>
            </w:r>
          </w:p>
        </w:tc>
        <w:tc>
          <w:tcPr>
            <w:tcW w:w="6946" w:type="dxa"/>
            <w:noWrap/>
            <w:vAlign w:val="center"/>
          </w:tcPr>
          <w:p w14:paraId="4B3B7624" w14:textId="3AFFEFC8" w:rsidR="00656431" w:rsidRDefault="00B03F31" w:rsidP="00DE212A">
            <w:pPr>
              <w:ind w:firstLineChars="700" w:firstLine="19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赵伟（董秘）</w:t>
            </w:r>
          </w:p>
        </w:tc>
      </w:tr>
      <w:tr w:rsidR="00656431" w:rsidRPr="00C80A66" w14:paraId="68D1BEBE" w14:textId="77777777" w:rsidTr="007664DC">
        <w:trPr>
          <w:trHeight w:val="1642"/>
        </w:trPr>
        <w:tc>
          <w:tcPr>
            <w:tcW w:w="1696" w:type="dxa"/>
            <w:noWrap/>
            <w:vAlign w:val="center"/>
          </w:tcPr>
          <w:p w14:paraId="25934EE9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投资者关系活动主要内容介绍</w:t>
            </w:r>
          </w:p>
        </w:tc>
        <w:tc>
          <w:tcPr>
            <w:tcW w:w="6946" w:type="dxa"/>
            <w:noWrap/>
          </w:tcPr>
          <w:p w14:paraId="799DBE04" w14:textId="6405EA5D" w:rsidR="00AE5713" w:rsidRDefault="00B723C7" w:rsidP="00AE5713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一</w:t>
            </w:r>
            <w:r w:rsidR="00A272AA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="00AE5713">
              <w:rPr>
                <w:rFonts w:asciiTheme="minorEastAsia" w:hAnsiTheme="minorEastAsia" w:hint="eastAsia"/>
                <w:sz w:val="28"/>
                <w:szCs w:val="28"/>
              </w:rPr>
              <w:t>调研交流情况：</w:t>
            </w:r>
          </w:p>
          <w:p w14:paraId="38B68C3C" w14:textId="28C3B70D" w:rsidR="00504313" w:rsidRDefault="00504313" w:rsidP="00504313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</w:t>
            </w:r>
            <w:r w:rsidRPr="00D858E5">
              <w:rPr>
                <w:rFonts w:asciiTheme="minorEastAsia" w:hAnsiTheme="minorEastAsia" w:hint="eastAsia"/>
                <w:sz w:val="28"/>
                <w:szCs w:val="28"/>
              </w:rPr>
              <w:t>请问公司目前核心交易系统在行业中推进情况如何？是否有新的意向订单？</w:t>
            </w:r>
          </w:p>
          <w:p w14:paraId="4E2EB2BC" w14:textId="362A7893" w:rsidR="00504313" w:rsidRDefault="00504313" w:rsidP="00504313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回复：</w:t>
            </w:r>
            <w:r w:rsidRPr="00D858E5">
              <w:rPr>
                <w:rFonts w:asciiTheme="minorEastAsia" w:hAnsiTheme="minorEastAsia" w:hint="eastAsia"/>
                <w:sz w:val="28"/>
                <w:szCs w:val="28"/>
              </w:rPr>
              <w:t>公司一直在积极推进新一代核心交易系统A5的建</w:t>
            </w:r>
            <w:r w:rsidRPr="00D858E5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设，今年在</w:t>
            </w:r>
            <w:proofErr w:type="gramStart"/>
            <w:r w:rsidRPr="00D858E5">
              <w:rPr>
                <w:rFonts w:asciiTheme="minorEastAsia" w:hAnsiTheme="minorEastAsia" w:hint="eastAsia"/>
                <w:sz w:val="28"/>
                <w:szCs w:val="28"/>
              </w:rPr>
              <w:t>信创核心</w:t>
            </w:r>
            <w:proofErr w:type="gramEnd"/>
            <w:r w:rsidRPr="00D858E5">
              <w:rPr>
                <w:rFonts w:asciiTheme="minorEastAsia" w:hAnsiTheme="minorEastAsia" w:hint="eastAsia"/>
                <w:sz w:val="28"/>
                <w:szCs w:val="28"/>
              </w:rPr>
              <w:t>系统和关键项目上均顺利推进。目前有</w:t>
            </w:r>
            <w:r w:rsidR="006D500A">
              <w:rPr>
                <w:rFonts w:asciiTheme="minorEastAsia" w:hAnsiTheme="minorEastAsia" w:hint="eastAsia"/>
                <w:sz w:val="28"/>
                <w:szCs w:val="28"/>
              </w:rPr>
              <w:t>多家</w:t>
            </w:r>
            <w:r w:rsidRPr="00D858E5">
              <w:rPr>
                <w:rFonts w:asciiTheme="minorEastAsia" w:hAnsiTheme="minorEastAsia" w:hint="eastAsia"/>
                <w:sz w:val="28"/>
                <w:szCs w:val="28"/>
              </w:rPr>
              <w:t>券商的A5项目在推进。业内有一些券商正在进行选型，公司都在积极争取。</w:t>
            </w:r>
          </w:p>
          <w:p w14:paraId="73EA385D" w14:textId="77777777" w:rsidR="00762644" w:rsidRDefault="00762644" w:rsidP="00504313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199D0F62" w14:textId="3B7A31A2" w:rsidR="00A66E24" w:rsidRPr="00177F72" w:rsidRDefault="00504313" w:rsidP="004D3F94">
            <w:pPr>
              <w:adjustRightInd w:val="0"/>
              <w:snapToGrid w:val="0"/>
              <w:spacing w:beforeLines="50" w:before="156" w:afterLines="50" w:after="156" w:line="360" w:lineRule="auto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="00177F72" w:rsidRPr="00177F72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="00A66E24" w:rsidRPr="00177F72">
              <w:rPr>
                <w:rFonts w:asciiTheme="minorEastAsia" w:hAnsiTheme="minorEastAsia" w:hint="eastAsia"/>
                <w:sz w:val="28"/>
                <w:szCs w:val="28"/>
              </w:rPr>
              <w:t>公司人员</w:t>
            </w:r>
            <w:r w:rsidR="00D8550F" w:rsidRPr="00177F72">
              <w:rPr>
                <w:rFonts w:asciiTheme="minorEastAsia" w:hAnsiTheme="minorEastAsia" w:hint="eastAsia"/>
                <w:sz w:val="28"/>
                <w:szCs w:val="28"/>
              </w:rPr>
              <w:t>招聘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情况</w:t>
            </w:r>
            <w:r w:rsidR="00A66E24" w:rsidRPr="00177F72">
              <w:rPr>
                <w:rFonts w:asciiTheme="minorEastAsia" w:hAnsiTheme="minorEastAsia" w:hint="eastAsia"/>
                <w:sz w:val="28"/>
                <w:szCs w:val="28"/>
              </w:rPr>
              <w:t>？</w:t>
            </w:r>
          </w:p>
          <w:p w14:paraId="4C121B1B" w14:textId="13D0DFF8" w:rsidR="00DB3469" w:rsidRDefault="00A96C37" w:rsidP="00DB3469">
            <w:pPr>
              <w:pStyle w:val="a9"/>
              <w:spacing w:before="120" w:beforeAutospacing="0" w:after="120" w:afterAutospacing="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 w:rsidRPr="00177F72">
              <w:rPr>
                <w:rFonts w:asciiTheme="minorEastAsia" w:hAnsiTheme="minorEastAsia" w:hint="eastAsia"/>
                <w:sz w:val="28"/>
                <w:szCs w:val="28"/>
              </w:rPr>
              <w:t>回复</w:t>
            </w:r>
            <w:r w:rsidR="00A66E24" w:rsidRPr="00177F72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="00504313">
              <w:rPr>
                <w:rFonts w:asciiTheme="minorEastAsia" w:hAnsiTheme="minorEastAsia" w:hint="eastAsia"/>
                <w:sz w:val="28"/>
                <w:szCs w:val="28"/>
              </w:rPr>
              <w:t>总体</w:t>
            </w:r>
            <w:r w:rsidR="00504313" w:rsidRPr="00504313">
              <w:rPr>
                <w:rFonts w:asciiTheme="minorEastAsia" w:hAnsiTheme="minorEastAsia" w:hint="eastAsia"/>
                <w:sz w:val="28"/>
                <w:szCs w:val="28"/>
              </w:rPr>
              <w:t>控制人员的招聘节奏</w:t>
            </w:r>
            <w:r w:rsidR="00504313">
              <w:rPr>
                <w:rFonts w:asciiTheme="minorEastAsia" w:hAnsiTheme="minorEastAsia" w:hint="eastAsia"/>
                <w:sz w:val="28"/>
                <w:szCs w:val="28"/>
              </w:rPr>
              <w:t>，根据不同业务线的发展情况进行调整，持续注重提高管理效率</w:t>
            </w:r>
            <w:r w:rsidR="00A66E24" w:rsidRPr="00177F72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  <w:p w14:paraId="255C2F80" w14:textId="77777777" w:rsidR="00C423D0" w:rsidRDefault="00C423D0" w:rsidP="00800330">
            <w:pPr>
              <w:widowControl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3960636C" w14:textId="77777777" w:rsidR="00800330" w:rsidRDefault="00800330" w:rsidP="00800330">
            <w:pPr>
              <w:widowControl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3、</w:t>
            </w:r>
            <w:r w:rsidRPr="00800330">
              <w:rPr>
                <w:rFonts w:asciiTheme="minorEastAsia" w:hAnsiTheme="minorEastAsia"/>
                <w:sz w:val="28"/>
                <w:szCs w:val="28"/>
              </w:rPr>
              <w:t xml:space="preserve">顶点软件除了在证券 IT 领域，后续在其他的金融科技领域是否有新布局或新的重组并购计划？ </w:t>
            </w:r>
          </w:p>
          <w:p w14:paraId="4545BA70" w14:textId="41D2E8EC" w:rsidR="00800330" w:rsidRDefault="00800330" w:rsidP="00800330">
            <w:pPr>
              <w:widowControl/>
              <w:ind w:firstLineChars="200" w:firstLine="560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800330">
              <w:rPr>
                <w:rFonts w:asciiTheme="minorEastAsia" w:hAnsiTheme="minorEastAsia"/>
                <w:sz w:val="28"/>
                <w:szCs w:val="28"/>
              </w:rPr>
              <w:t>回复：除了证券 IT，公司在资管、财富等领域积极布局，持续耕耘。</w:t>
            </w:r>
          </w:p>
          <w:p w14:paraId="01D09063" w14:textId="77777777" w:rsidR="00800330" w:rsidRDefault="00800330" w:rsidP="00DB3469">
            <w:pPr>
              <w:pStyle w:val="a9"/>
              <w:spacing w:before="120" w:beforeAutospacing="0" w:after="120" w:afterAutospacing="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7217B879" w14:textId="29382028" w:rsidR="00504313" w:rsidRPr="00177F72" w:rsidRDefault="00800330" w:rsidP="00504313">
            <w:pPr>
              <w:widowControl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  <w:r w:rsidR="00C423D0" w:rsidRPr="00C423D0">
              <w:rPr>
                <w:rFonts w:asciiTheme="minorEastAsia" w:hAnsiTheme="minorEastAsia"/>
                <w:sz w:val="28"/>
                <w:szCs w:val="28"/>
              </w:rPr>
              <w:t>、</w:t>
            </w:r>
            <w:r w:rsidR="006D500A">
              <w:rPr>
                <w:rFonts w:asciiTheme="minorEastAsia" w:hAnsiTheme="minorEastAsia" w:hint="eastAsia"/>
                <w:sz w:val="28"/>
                <w:szCs w:val="28"/>
              </w:rPr>
              <w:t>对明年金融IT的展望</w:t>
            </w:r>
            <w:r w:rsidR="00504313">
              <w:rPr>
                <w:rFonts w:asciiTheme="minorEastAsia" w:hAnsiTheme="minorEastAsia" w:hint="eastAsia"/>
                <w:sz w:val="28"/>
                <w:szCs w:val="28"/>
              </w:rPr>
              <w:t>？</w:t>
            </w:r>
          </w:p>
          <w:p w14:paraId="3B9BF34E" w14:textId="5F16FAAE" w:rsidR="00C423D0" w:rsidRPr="00177F72" w:rsidRDefault="00504313" w:rsidP="00C97175">
            <w:pPr>
              <w:widowControl/>
              <w:ind w:firstLineChars="200" w:firstLine="560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回复：</w:t>
            </w:r>
            <w:r w:rsidR="006D500A">
              <w:rPr>
                <w:rFonts w:asciiTheme="minorEastAsia" w:hAnsiTheme="minorEastAsia" w:hint="eastAsia"/>
                <w:sz w:val="28"/>
                <w:szCs w:val="28"/>
              </w:rPr>
              <w:t>对明年的市场</w:t>
            </w:r>
            <w:r w:rsidR="008B5454">
              <w:rPr>
                <w:rFonts w:asciiTheme="minorEastAsia" w:hAnsiTheme="minorEastAsia" w:hint="eastAsia"/>
                <w:sz w:val="28"/>
                <w:szCs w:val="28"/>
              </w:rPr>
              <w:t>环境</w:t>
            </w:r>
            <w:proofErr w:type="gramStart"/>
            <w:r w:rsidR="006D500A">
              <w:rPr>
                <w:rFonts w:asciiTheme="minorEastAsia" w:hAnsiTheme="minorEastAsia" w:hint="eastAsia"/>
                <w:sz w:val="28"/>
                <w:szCs w:val="28"/>
              </w:rPr>
              <w:t>持相对</w:t>
            </w:r>
            <w:proofErr w:type="gramEnd"/>
            <w:r w:rsidR="006D500A">
              <w:rPr>
                <w:rFonts w:asciiTheme="minorEastAsia" w:hAnsiTheme="minorEastAsia" w:hint="eastAsia"/>
                <w:sz w:val="28"/>
                <w:szCs w:val="28"/>
              </w:rPr>
              <w:t>乐观的态度，公司会尽力</w:t>
            </w:r>
            <w:r w:rsidR="006D500A" w:rsidRPr="006D500A">
              <w:rPr>
                <w:rFonts w:asciiTheme="minorEastAsia" w:hAnsiTheme="minorEastAsia" w:hint="eastAsia"/>
                <w:sz w:val="28"/>
                <w:szCs w:val="28"/>
              </w:rPr>
              <w:t>利用优势产品线的市场扩大和</w:t>
            </w:r>
            <w:proofErr w:type="gramStart"/>
            <w:r w:rsidR="006D500A" w:rsidRPr="006D500A">
              <w:rPr>
                <w:rFonts w:asciiTheme="minorEastAsia" w:hAnsiTheme="minorEastAsia" w:hint="eastAsia"/>
                <w:sz w:val="28"/>
                <w:szCs w:val="28"/>
              </w:rPr>
              <w:t>国产信创</w:t>
            </w:r>
            <w:proofErr w:type="gramEnd"/>
            <w:r w:rsidR="006D500A" w:rsidRPr="006D500A">
              <w:rPr>
                <w:rFonts w:asciiTheme="minorEastAsia" w:hAnsiTheme="minorEastAsia" w:hint="eastAsia"/>
                <w:sz w:val="28"/>
                <w:szCs w:val="28"/>
              </w:rPr>
              <w:t>替代及近年新研发产品的市场开拓以实现经营增长的目标</w:t>
            </w:r>
            <w:r w:rsidR="006D500A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14:paraId="5D3974F3" w14:textId="3B5DCDA0" w:rsidR="006B69BF" w:rsidRDefault="006B69BF" w:rsidP="00FE0687">
      <w:pPr>
        <w:widowControl/>
        <w:jc w:val="left"/>
      </w:pPr>
    </w:p>
    <w:p w14:paraId="5C3D6BCF" w14:textId="03B8EBFA" w:rsidR="00656431" w:rsidRPr="00417C3D" w:rsidRDefault="00656431" w:rsidP="00FE0687">
      <w:pPr>
        <w:widowControl/>
        <w:jc w:val="left"/>
      </w:pPr>
    </w:p>
    <w:sectPr w:rsidR="00656431" w:rsidRPr="00417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22D55" w14:textId="77777777" w:rsidR="00323519" w:rsidRDefault="00323519" w:rsidP="00FC65CC">
      <w:r>
        <w:separator/>
      </w:r>
    </w:p>
  </w:endnote>
  <w:endnote w:type="continuationSeparator" w:id="0">
    <w:p w14:paraId="5880F87A" w14:textId="77777777" w:rsidR="00323519" w:rsidRDefault="00323519" w:rsidP="00FC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3BB3B" w14:textId="77777777" w:rsidR="00323519" w:rsidRDefault="00323519" w:rsidP="00FC65CC">
      <w:r>
        <w:separator/>
      </w:r>
    </w:p>
  </w:footnote>
  <w:footnote w:type="continuationSeparator" w:id="0">
    <w:p w14:paraId="65CB0346" w14:textId="77777777" w:rsidR="00323519" w:rsidRDefault="00323519" w:rsidP="00FC6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2099"/>
    <w:multiLevelType w:val="hybridMultilevel"/>
    <w:tmpl w:val="504E4C86"/>
    <w:lvl w:ilvl="0" w:tplc="946C95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3EA5AC0"/>
    <w:multiLevelType w:val="hybridMultilevel"/>
    <w:tmpl w:val="8C74DF70"/>
    <w:lvl w:ilvl="0" w:tplc="4296C28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62E0C95"/>
    <w:multiLevelType w:val="hybridMultilevel"/>
    <w:tmpl w:val="347CCF64"/>
    <w:lvl w:ilvl="0" w:tplc="7F7A04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79B4CFD"/>
    <w:multiLevelType w:val="multilevel"/>
    <w:tmpl w:val="179B4CF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FF607ED"/>
    <w:multiLevelType w:val="hybridMultilevel"/>
    <w:tmpl w:val="D32027E6"/>
    <w:lvl w:ilvl="0" w:tplc="E5E65692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99E301D"/>
    <w:multiLevelType w:val="hybridMultilevel"/>
    <w:tmpl w:val="76F87FF4"/>
    <w:lvl w:ilvl="0" w:tplc="5A56241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2111775130">
    <w:abstractNumId w:val="3"/>
  </w:num>
  <w:num w:numId="2" w16cid:durableId="567809443">
    <w:abstractNumId w:val="1"/>
  </w:num>
  <w:num w:numId="3" w16cid:durableId="1296594463">
    <w:abstractNumId w:val="4"/>
  </w:num>
  <w:num w:numId="4" w16cid:durableId="81680227">
    <w:abstractNumId w:val="5"/>
  </w:num>
  <w:num w:numId="5" w16cid:durableId="491067731">
    <w:abstractNumId w:val="0"/>
  </w:num>
  <w:num w:numId="6" w16cid:durableId="1069378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F8"/>
    <w:rsid w:val="000011E3"/>
    <w:rsid w:val="00014642"/>
    <w:rsid w:val="000158E6"/>
    <w:rsid w:val="00015B6C"/>
    <w:rsid w:val="00021E7F"/>
    <w:rsid w:val="00034E1D"/>
    <w:rsid w:val="00036D50"/>
    <w:rsid w:val="00041866"/>
    <w:rsid w:val="00041BC6"/>
    <w:rsid w:val="00050198"/>
    <w:rsid w:val="0005134D"/>
    <w:rsid w:val="00066614"/>
    <w:rsid w:val="000678CE"/>
    <w:rsid w:val="00070BF1"/>
    <w:rsid w:val="0009493E"/>
    <w:rsid w:val="00096A5E"/>
    <w:rsid w:val="000976B2"/>
    <w:rsid w:val="000C2E67"/>
    <w:rsid w:val="000C3354"/>
    <w:rsid w:val="000C6DA5"/>
    <w:rsid w:val="000D036F"/>
    <w:rsid w:val="000E4C0C"/>
    <w:rsid w:val="000E7E0D"/>
    <w:rsid w:val="00105CDC"/>
    <w:rsid w:val="00107CD9"/>
    <w:rsid w:val="00114DEE"/>
    <w:rsid w:val="00117E54"/>
    <w:rsid w:val="001201C9"/>
    <w:rsid w:val="00134DCD"/>
    <w:rsid w:val="00142497"/>
    <w:rsid w:val="00151DF6"/>
    <w:rsid w:val="00162085"/>
    <w:rsid w:val="00165577"/>
    <w:rsid w:val="00165648"/>
    <w:rsid w:val="00166A35"/>
    <w:rsid w:val="00167B0F"/>
    <w:rsid w:val="001709C6"/>
    <w:rsid w:val="001727BA"/>
    <w:rsid w:val="00173003"/>
    <w:rsid w:val="00177F72"/>
    <w:rsid w:val="00181AF7"/>
    <w:rsid w:val="00186E0D"/>
    <w:rsid w:val="001A39B9"/>
    <w:rsid w:val="001A3CF8"/>
    <w:rsid w:val="001A64C6"/>
    <w:rsid w:val="001A6FE0"/>
    <w:rsid w:val="001B257F"/>
    <w:rsid w:val="001B7284"/>
    <w:rsid w:val="001C3422"/>
    <w:rsid w:val="001C3BC2"/>
    <w:rsid w:val="001C68BE"/>
    <w:rsid w:val="001C7095"/>
    <w:rsid w:val="001D1127"/>
    <w:rsid w:val="001D2844"/>
    <w:rsid w:val="001D31E7"/>
    <w:rsid w:val="001D5E3A"/>
    <w:rsid w:val="001E0F46"/>
    <w:rsid w:val="001E25D3"/>
    <w:rsid w:val="001F0C6F"/>
    <w:rsid w:val="001F6A3E"/>
    <w:rsid w:val="001F7C46"/>
    <w:rsid w:val="001F7F9B"/>
    <w:rsid w:val="00203C43"/>
    <w:rsid w:val="002145C8"/>
    <w:rsid w:val="002171F9"/>
    <w:rsid w:val="00240184"/>
    <w:rsid w:val="00242FAE"/>
    <w:rsid w:val="00245D22"/>
    <w:rsid w:val="00250861"/>
    <w:rsid w:val="0025406B"/>
    <w:rsid w:val="002610BC"/>
    <w:rsid w:val="00280B1F"/>
    <w:rsid w:val="00287952"/>
    <w:rsid w:val="00294102"/>
    <w:rsid w:val="002968BA"/>
    <w:rsid w:val="002A35D7"/>
    <w:rsid w:val="002A7D62"/>
    <w:rsid w:val="002B016F"/>
    <w:rsid w:val="002C6764"/>
    <w:rsid w:val="002D0E27"/>
    <w:rsid w:val="002D4197"/>
    <w:rsid w:val="002D5760"/>
    <w:rsid w:val="002E186C"/>
    <w:rsid w:val="002F0726"/>
    <w:rsid w:val="002F13CB"/>
    <w:rsid w:val="002F4D81"/>
    <w:rsid w:val="002F64F1"/>
    <w:rsid w:val="0030426B"/>
    <w:rsid w:val="00310ADD"/>
    <w:rsid w:val="003143C7"/>
    <w:rsid w:val="003148DF"/>
    <w:rsid w:val="003151ED"/>
    <w:rsid w:val="00323352"/>
    <w:rsid w:val="00323519"/>
    <w:rsid w:val="00330F2F"/>
    <w:rsid w:val="00336DC5"/>
    <w:rsid w:val="003452AB"/>
    <w:rsid w:val="003537C8"/>
    <w:rsid w:val="0035410E"/>
    <w:rsid w:val="00354E4F"/>
    <w:rsid w:val="003621BD"/>
    <w:rsid w:val="00376E35"/>
    <w:rsid w:val="003819E9"/>
    <w:rsid w:val="00384121"/>
    <w:rsid w:val="0038554A"/>
    <w:rsid w:val="003868B7"/>
    <w:rsid w:val="00386B97"/>
    <w:rsid w:val="003870F1"/>
    <w:rsid w:val="003876E4"/>
    <w:rsid w:val="003914AA"/>
    <w:rsid w:val="00396743"/>
    <w:rsid w:val="003A21D5"/>
    <w:rsid w:val="003A6A5C"/>
    <w:rsid w:val="003B099F"/>
    <w:rsid w:val="003B3F40"/>
    <w:rsid w:val="003B5B08"/>
    <w:rsid w:val="003B75B8"/>
    <w:rsid w:val="003C1F9B"/>
    <w:rsid w:val="003C7BEB"/>
    <w:rsid w:val="003D0FEE"/>
    <w:rsid w:val="003D496E"/>
    <w:rsid w:val="003E7324"/>
    <w:rsid w:val="003F340E"/>
    <w:rsid w:val="003F376B"/>
    <w:rsid w:val="00400583"/>
    <w:rsid w:val="004016E7"/>
    <w:rsid w:val="00406CB0"/>
    <w:rsid w:val="0041005C"/>
    <w:rsid w:val="004102F2"/>
    <w:rsid w:val="00411A8A"/>
    <w:rsid w:val="00417C3D"/>
    <w:rsid w:val="004227D5"/>
    <w:rsid w:val="004250A3"/>
    <w:rsid w:val="004256CD"/>
    <w:rsid w:val="00427385"/>
    <w:rsid w:val="00432273"/>
    <w:rsid w:val="0043651B"/>
    <w:rsid w:val="004372B7"/>
    <w:rsid w:val="00440AF2"/>
    <w:rsid w:val="00440EE3"/>
    <w:rsid w:val="004446E0"/>
    <w:rsid w:val="0044496C"/>
    <w:rsid w:val="00444CE7"/>
    <w:rsid w:val="004479AA"/>
    <w:rsid w:val="00454A34"/>
    <w:rsid w:val="004579C9"/>
    <w:rsid w:val="00457CF4"/>
    <w:rsid w:val="00463226"/>
    <w:rsid w:val="00464794"/>
    <w:rsid w:val="00465320"/>
    <w:rsid w:val="00470CD7"/>
    <w:rsid w:val="00472DCA"/>
    <w:rsid w:val="00474327"/>
    <w:rsid w:val="00477AA6"/>
    <w:rsid w:val="0048138E"/>
    <w:rsid w:val="0048280A"/>
    <w:rsid w:val="00486296"/>
    <w:rsid w:val="00494F34"/>
    <w:rsid w:val="004A5061"/>
    <w:rsid w:val="004B0711"/>
    <w:rsid w:val="004B2361"/>
    <w:rsid w:val="004C0BDD"/>
    <w:rsid w:val="004C5728"/>
    <w:rsid w:val="004D0113"/>
    <w:rsid w:val="004D29DE"/>
    <w:rsid w:val="004D2CF7"/>
    <w:rsid w:val="004D3F94"/>
    <w:rsid w:val="004E04DF"/>
    <w:rsid w:val="004E08C7"/>
    <w:rsid w:val="004E0A7C"/>
    <w:rsid w:val="004F5FD0"/>
    <w:rsid w:val="00504313"/>
    <w:rsid w:val="00510124"/>
    <w:rsid w:val="00516A94"/>
    <w:rsid w:val="00520B2B"/>
    <w:rsid w:val="00521BA5"/>
    <w:rsid w:val="00525136"/>
    <w:rsid w:val="00530532"/>
    <w:rsid w:val="00531024"/>
    <w:rsid w:val="005322BD"/>
    <w:rsid w:val="00534D21"/>
    <w:rsid w:val="00541EBA"/>
    <w:rsid w:val="0054353C"/>
    <w:rsid w:val="005443BF"/>
    <w:rsid w:val="005503D5"/>
    <w:rsid w:val="00550FD6"/>
    <w:rsid w:val="00555E6E"/>
    <w:rsid w:val="0055612A"/>
    <w:rsid w:val="00563244"/>
    <w:rsid w:val="00564C88"/>
    <w:rsid w:val="00584C38"/>
    <w:rsid w:val="005857B4"/>
    <w:rsid w:val="00590391"/>
    <w:rsid w:val="00591703"/>
    <w:rsid w:val="00596B49"/>
    <w:rsid w:val="005A0F86"/>
    <w:rsid w:val="005A5EC5"/>
    <w:rsid w:val="005A7B41"/>
    <w:rsid w:val="005B4FF9"/>
    <w:rsid w:val="005C7268"/>
    <w:rsid w:val="005D4B2C"/>
    <w:rsid w:val="005D5A54"/>
    <w:rsid w:val="005D5BFD"/>
    <w:rsid w:val="005E47DE"/>
    <w:rsid w:val="005E5324"/>
    <w:rsid w:val="005F327F"/>
    <w:rsid w:val="006025C1"/>
    <w:rsid w:val="00602C96"/>
    <w:rsid w:val="00610FAD"/>
    <w:rsid w:val="00632969"/>
    <w:rsid w:val="006329A5"/>
    <w:rsid w:val="00632E81"/>
    <w:rsid w:val="00635067"/>
    <w:rsid w:val="00641428"/>
    <w:rsid w:val="006416E8"/>
    <w:rsid w:val="006520BA"/>
    <w:rsid w:val="00656431"/>
    <w:rsid w:val="0068250D"/>
    <w:rsid w:val="0068283F"/>
    <w:rsid w:val="00684E8C"/>
    <w:rsid w:val="006862E5"/>
    <w:rsid w:val="00691239"/>
    <w:rsid w:val="006966F3"/>
    <w:rsid w:val="006968D8"/>
    <w:rsid w:val="006A08E8"/>
    <w:rsid w:val="006A2631"/>
    <w:rsid w:val="006A3A47"/>
    <w:rsid w:val="006A6A8E"/>
    <w:rsid w:val="006B69BF"/>
    <w:rsid w:val="006C48C3"/>
    <w:rsid w:val="006D500A"/>
    <w:rsid w:val="006E10B0"/>
    <w:rsid w:val="006E5148"/>
    <w:rsid w:val="006E5F63"/>
    <w:rsid w:val="006E787A"/>
    <w:rsid w:val="006F4155"/>
    <w:rsid w:val="00704351"/>
    <w:rsid w:val="0071569D"/>
    <w:rsid w:val="00734611"/>
    <w:rsid w:val="0074008C"/>
    <w:rsid w:val="00757CBA"/>
    <w:rsid w:val="00762644"/>
    <w:rsid w:val="007664DC"/>
    <w:rsid w:val="00766AE2"/>
    <w:rsid w:val="00781A2F"/>
    <w:rsid w:val="00782208"/>
    <w:rsid w:val="007824C9"/>
    <w:rsid w:val="007916C5"/>
    <w:rsid w:val="00795F32"/>
    <w:rsid w:val="00796BF8"/>
    <w:rsid w:val="007A61EC"/>
    <w:rsid w:val="007B07C1"/>
    <w:rsid w:val="007B27B4"/>
    <w:rsid w:val="007B39BB"/>
    <w:rsid w:val="007B7354"/>
    <w:rsid w:val="007C0509"/>
    <w:rsid w:val="007C08AC"/>
    <w:rsid w:val="007D14F0"/>
    <w:rsid w:val="007E123F"/>
    <w:rsid w:val="007E7200"/>
    <w:rsid w:val="007E7D5C"/>
    <w:rsid w:val="007F1057"/>
    <w:rsid w:val="007F1B98"/>
    <w:rsid w:val="007F5CD6"/>
    <w:rsid w:val="00800330"/>
    <w:rsid w:val="00802C82"/>
    <w:rsid w:val="0081734C"/>
    <w:rsid w:val="00817C7C"/>
    <w:rsid w:val="00830A2F"/>
    <w:rsid w:val="00832FFC"/>
    <w:rsid w:val="00833769"/>
    <w:rsid w:val="00833DD0"/>
    <w:rsid w:val="00834992"/>
    <w:rsid w:val="00837763"/>
    <w:rsid w:val="008409C3"/>
    <w:rsid w:val="00847275"/>
    <w:rsid w:val="0085602C"/>
    <w:rsid w:val="00856D50"/>
    <w:rsid w:val="00862D67"/>
    <w:rsid w:val="008649FB"/>
    <w:rsid w:val="00864DFD"/>
    <w:rsid w:val="00865178"/>
    <w:rsid w:val="00870681"/>
    <w:rsid w:val="008727B6"/>
    <w:rsid w:val="008729AA"/>
    <w:rsid w:val="00876937"/>
    <w:rsid w:val="00885538"/>
    <w:rsid w:val="008A0546"/>
    <w:rsid w:val="008B01F1"/>
    <w:rsid w:val="008B3FDF"/>
    <w:rsid w:val="008B5454"/>
    <w:rsid w:val="008C180A"/>
    <w:rsid w:val="008C1A30"/>
    <w:rsid w:val="008C58F3"/>
    <w:rsid w:val="008D2512"/>
    <w:rsid w:val="008D3696"/>
    <w:rsid w:val="008D5010"/>
    <w:rsid w:val="008E6BBA"/>
    <w:rsid w:val="008F27E6"/>
    <w:rsid w:val="008F2B33"/>
    <w:rsid w:val="008F40DF"/>
    <w:rsid w:val="009026DD"/>
    <w:rsid w:val="00905F4F"/>
    <w:rsid w:val="00910224"/>
    <w:rsid w:val="00911AEA"/>
    <w:rsid w:val="009124EE"/>
    <w:rsid w:val="009164B5"/>
    <w:rsid w:val="00920E34"/>
    <w:rsid w:val="0093625B"/>
    <w:rsid w:val="00936292"/>
    <w:rsid w:val="0093717D"/>
    <w:rsid w:val="009416C8"/>
    <w:rsid w:val="00943E06"/>
    <w:rsid w:val="00944738"/>
    <w:rsid w:val="00945CDB"/>
    <w:rsid w:val="009474B9"/>
    <w:rsid w:val="00952F25"/>
    <w:rsid w:val="0095571D"/>
    <w:rsid w:val="00956430"/>
    <w:rsid w:val="009615F3"/>
    <w:rsid w:val="009646F8"/>
    <w:rsid w:val="009A678D"/>
    <w:rsid w:val="009A6902"/>
    <w:rsid w:val="009B32EC"/>
    <w:rsid w:val="009B51DF"/>
    <w:rsid w:val="009B52C8"/>
    <w:rsid w:val="009C3E4A"/>
    <w:rsid w:val="009D1D82"/>
    <w:rsid w:val="009E0504"/>
    <w:rsid w:val="009E1DB1"/>
    <w:rsid w:val="009E5D9E"/>
    <w:rsid w:val="009F5CDF"/>
    <w:rsid w:val="00A02A86"/>
    <w:rsid w:val="00A1721D"/>
    <w:rsid w:val="00A215D8"/>
    <w:rsid w:val="00A22A1E"/>
    <w:rsid w:val="00A236A0"/>
    <w:rsid w:val="00A24E56"/>
    <w:rsid w:val="00A26D31"/>
    <w:rsid w:val="00A272AA"/>
    <w:rsid w:val="00A5020E"/>
    <w:rsid w:val="00A52C88"/>
    <w:rsid w:val="00A6178E"/>
    <w:rsid w:val="00A64D96"/>
    <w:rsid w:val="00A64DBE"/>
    <w:rsid w:val="00A65097"/>
    <w:rsid w:val="00A66E24"/>
    <w:rsid w:val="00A758A0"/>
    <w:rsid w:val="00A96C37"/>
    <w:rsid w:val="00AA72D7"/>
    <w:rsid w:val="00AB1B79"/>
    <w:rsid w:val="00AB4436"/>
    <w:rsid w:val="00AB56E9"/>
    <w:rsid w:val="00AC25D1"/>
    <w:rsid w:val="00AC3024"/>
    <w:rsid w:val="00AC5E0C"/>
    <w:rsid w:val="00AD0418"/>
    <w:rsid w:val="00AD6A62"/>
    <w:rsid w:val="00AE5713"/>
    <w:rsid w:val="00B02D7B"/>
    <w:rsid w:val="00B03F31"/>
    <w:rsid w:val="00B070D4"/>
    <w:rsid w:val="00B12046"/>
    <w:rsid w:val="00B126F8"/>
    <w:rsid w:val="00B1331B"/>
    <w:rsid w:val="00B13FDC"/>
    <w:rsid w:val="00B25E0F"/>
    <w:rsid w:val="00B2725A"/>
    <w:rsid w:val="00B33507"/>
    <w:rsid w:val="00B33E37"/>
    <w:rsid w:val="00B37A77"/>
    <w:rsid w:val="00B4234A"/>
    <w:rsid w:val="00B43B62"/>
    <w:rsid w:val="00B460D3"/>
    <w:rsid w:val="00B52985"/>
    <w:rsid w:val="00B613BB"/>
    <w:rsid w:val="00B723C7"/>
    <w:rsid w:val="00B7719C"/>
    <w:rsid w:val="00B825D0"/>
    <w:rsid w:val="00B841AB"/>
    <w:rsid w:val="00B9115D"/>
    <w:rsid w:val="00BA38F3"/>
    <w:rsid w:val="00BA62CC"/>
    <w:rsid w:val="00BB46FC"/>
    <w:rsid w:val="00BC1EC3"/>
    <w:rsid w:val="00BC258D"/>
    <w:rsid w:val="00BC556E"/>
    <w:rsid w:val="00BC6729"/>
    <w:rsid w:val="00BC7FF5"/>
    <w:rsid w:val="00BE18F2"/>
    <w:rsid w:val="00C05FF8"/>
    <w:rsid w:val="00C11B91"/>
    <w:rsid w:val="00C12C7B"/>
    <w:rsid w:val="00C26C03"/>
    <w:rsid w:val="00C33B1C"/>
    <w:rsid w:val="00C3530F"/>
    <w:rsid w:val="00C35837"/>
    <w:rsid w:val="00C37584"/>
    <w:rsid w:val="00C423D0"/>
    <w:rsid w:val="00C51EF1"/>
    <w:rsid w:val="00C6453C"/>
    <w:rsid w:val="00C676BF"/>
    <w:rsid w:val="00C74CCB"/>
    <w:rsid w:val="00C75CC1"/>
    <w:rsid w:val="00C80A66"/>
    <w:rsid w:val="00C80EE8"/>
    <w:rsid w:val="00C82510"/>
    <w:rsid w:val="00C86D5A"/>
    <w:rsid w:val="00C874BA"/>
    <w:rsid w:val="00C94BEA"/>
    <w:rsid w:val="00C951B5"/>
    <w:rsid w:val="00C959C9"/>
    <w:rsid w:val="00C97175"/>
    <w:rsid w:val="00CA1FAB"/>
    <w:rsid w:val="00CA5F7D"/>
    <w:rsid w:val="00CB03E9"/>
    <w:rsid w:val="00CB4B3C"/>
    <w:rsid w:val="00CB68E2"/>
    <w:rsid w:val="00CB6E8B"/>
    <w:rsid w:val="00CC339B"/>
    <w:rsid w:val="00CD461B"/>
    <w:rsid w:val="00CE0B34"/>
    <w:rsid w:val="00CE7BA4"/>
    <w:rsid w:val="00D15B83"/>
    <w:rsid w:val="00D15C20"/>
    <w:rsid w:val="00D258D4"/>
    <w:rsid w:val="00D26D95"/>
    <w:rsid w:val="00D27F2F"/>
    <w:rsid w:val="00D320FA"/>
    <w:rsid w:val="00D329D9"/>
    <w:rsid w:val="00D37ACA"/>
    <w:rsid w:val="00D4474F"/>
    <w:rsid w:val="00D627F7"/>
    <w:rsid w:val="00D633F0"/>
    <w:rsid w:val="00D67F2A"/>
    <w:rsid w:val="00D70E14"/>
    <w:rsid w:val="00D74456"/>
    <w:rsid w:val="00D80D7F"/>
    <w:rsid w:val="00D83230"/>
    <w:rsid w:val="00D8550F"/>
    <w:rsid w:val="00D94F67"/>
    <w:rsid w:val="00DA1636"/>
    <w:rsid w:val="00DB3469"/>
    <w:rsid w:val="00DB4DE9"/>
    <w:rsid w:val="00DC3A4C"/>
    <w:rsid w:val="00DC56DA"/>
    <w:rsid w:val="00DE212A"/>
    <w:rsid w:val="00DE766D"/>
    <w:rsid w:val="00DE7953"/>
    <w:rsid w:val="00DF0174"/>
    <w:rsid w:val="00DF118A"/>
    <w:rsid w:val="00DF13D0"/>
    <w:rsid w:val="00DF6121"/>
    <w:rsid w:val="00E0030A"/>
    <w:rsid w:val="00E003AA"/>
    <w:rsid w:val="00E03C52"/>
    <w:rsid w:val="00E040BF"/>
    <w:rsid w:val="00E05798"/>
    <w:rsid w:val="00E120EE"/>
    <w:rsid w:val="00E32516"/>
    <w:rsid w:val="00E358F0"/>
    <w:rsid w:val="00E4525A"/>
    <w:rsid w:val="00E461BC"/>
    <w:rsid w:val="00E50777"/>
    <w:rsid w:val="00E52B7E"/>
    <w:rsid w:val="00E63B6D"/>
    <w:rsid w:val="00E656BC"/>
    <w:rsid w:val="00E729B8"/>
    <w:rsid w:val="00E72FE1"/>
    <w:rsid w:val="00E7375F"/>
    <w:rsid w:val="00E80294"/>
    <w:rsid w:val="00E806DF"/>
    <w:rsid w:val="00E8465B"/>
    <w:rsid w:val="00E85A40"/>
    <w:rsid w:val="00E967DC"/>
    <w:rsid w:val="00EA30B8"/>
    <w:rsid w:val="00EA6E65"/>
    <w:rsid w:val="00EB2048"/>
    <w:rsid w:val="00EB2B2A"/>
    <w:rsid w:val="00EB5E19"/>
    <w:rsid w:val="00EB7589"/>
    <w:rsid w:val="00EC3DE2"/>
    <w:rsid w:val="00EC79A9"/>
    <w:rsid w:val="00ED0AFC"/>
    <w:rsid w:val="00ED63F1"/>
    <w:rsid w:val="00ED7938"/>
    <w:rsid w:val="00EE3EFF"/>
    <w:rsid w:val="00EE6F57"/>
    <w:rsid w:val="00EF21A4"/>
    <w:rsid w:val="00EF2B2F"/>
    <w:rsid w:val="00EF6A04"/>
    <w:rsid w:val="00F02076"/>
    <w:rsid w:val="00F04DEB"/>
    <w:rsid w:val="00F10B6A"/>
    <w:rsid w:val="00F10EBF"/>
    <w:rsid w:val="00F20286"/>
    <w:rsid w:val="00F238A2"/>
    <w:rsid w:val="00F253B6"/>
    <w:rsid w:val="00F37002"/>
    <w:rsid w:val="00F37CB4"/>
    <w:rsid w:val="00F556DA"/>
    <w:rsid w:val="00F56D11"/>
    <w:rsid w:val="00F622B7"/>
    <w:rsid w:val="00F67C56"/>
    <w:rsid w:val="00F82786"/>
    <w:rsid w:val="00F84EFB"/>
    <w:rsid w:val="00F9007A"/>
    <w:rsid w:val="00FA024E"/>
    <w:rsid w:val="00FA64B0"/>
    <w:rsid w:val="00FA7083"/>
    <w:rsid w:val="00FB1925"/>
    <w:rsid w:val="00FB2E18"/>
    <w:rsid w:val="00FB59AE"/>
    <w:rsid w:val="00FC0C08"/>
    <w:rsid w:val="00FC587E"/>
    <w:rsid w:val="00FC65CC"/>
    <w:rsid w:val="00FC665C"/>
    <w:rsid w:val="00FD33FE"/>
    <w:rsid w:val="00FE0687"/>
    <w:rsid w:val="00FE0A71"/>
    <w:rsid w:val="00FE4130"/>
    <w:rsid w:val="00FE67D8"/>
    <w:rsid w:val="00FE798B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40AE9"/>
  <w15:docId w15:val="{590E80AE-E496-4F69-8292-3669F651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F9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417C3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E737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65178"/>
    <w:rPr>
      <w:b/>
      <w:bCs/>
    </w:rPr>
  </w:style>
  <w:style w:type="character" w:customStyle="1" w:styleId="10">
    <w:name w:val="标题 1 字符"/>
    <w:basedOn w:val="a0"/>
    <w:link w:val="1"/>
    <w:uiPriority w:val="9"/>
    <w:rsid w:val="00417C3D"/>
    <w:rPr>
      <w:rFonts w:ascii="宋体" w:eastAsia="宋体" w:hAnsi="宋体" w:cs="宋体"/>
      <w:b/>
      <w:bCs/>
      <w:kern w:val="36"/>
      <w:sz w:val="48"/>
      <w:szCs w:val="48"/>
    </w:rPr>
  </w:style>
  <w:style w:type="paragraph" w:styleId="ab">
    <w:name w:val="Revision"/>
    <w:hidden/>
    <w:uiPriority w:val="99"/>
    <w:semiHidden/>
    <w:rsid w:val="00C3530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wujingjing</dc:creator>
  <cp:lastModifiedBy>wujingjing</cp:lastModifiedBy>
  <cp:revision>2</cp:revision>
  <cp:lastPrinted>2024-11-06T05:46:00Z</cp:lastPrinted>
  <dcterms:created xsi:type="dcterms:W3CDTF">2024-12-11T08:09:00Z</dcterms:created>
  <dcterms:modified xsi:type="dcterms:W3CDTF">2024-12-11T08:09:00Z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